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CB9EC" w14:textId="4B91BBC8" w:rsidR="00AE15E3" w:rsidRPr="00AB226A" w:rsidRDefault="00AE15E3" w:rsidP="006A42A3">
      <w:pPr>
        <w:pStyle w:val="Titre"/>
        <w:rPr>
          <w:rFonts w:ascii="Roboto" w:hAnsi="Roboto"/>
        </w:rPr>
      </w:pPr>
      <w:r w:rsidRPr="00AB226A">
        <w:rPr>
          <w:rFonts w:ascii="Roboto" w:hAnsi="Roboto"/>
        </w:rPr>
        <w:t>Consultation publique</w:t>
      </w:r>
    </w:p>
    <w:p w14:paraId="15456EAD" w14:textId="028F3722" w:rsidR="006876BB" w:rsidRPr="00AB226A" w:rsidRDefault="00680495" w:rsidP="00234CEE">
      <w:pPr>
        <w:pStyle w:val="Sous-titre"/>
        <w:rPr>
          <w:rFonts w:ascii="Roboto" w:hAnsi="Roboto"/>
        </w:rPr>
      </w:pPr>
      <w:r>
        <w:rPr>
          <w:rFonts w:eastAsiaTheme="minorHAnsi" w:cs="Times New Roman"/>
          <w:szCs w:val="20"/>
        </w:rPr>
        <w:t xml:space="preserve">relative aux éléments pris en considération par l’Autorité lorsqu’elle est amenée à rendre </w:t>
      </w:r>
      <w:r>
        <w:rPr>
          <w:rFonts w:eastAsiaTheme="minorHAnsi" w:cs="Times New Roman"/>
          <w:szCs w:val="20"/>
        </w:rPr>
        <w:t>un avis conforme sur la poursuite</w:t>
      </w:r>
      <w:r w:rsidRPr="007F455B">
        <w:rPr>
          <w:rFonts w:eastAsiaTheme="minorHAnsi" w:cs="Times New Roman"/>
          <w:szCs w:val="20"/>
        </w:rPr>
        <w:t xml:space="preserve"> d</w:t>
      </w:r>
      <w:r>
        <w:rPr>
          <w:rFonts w:eastAsiaTheme="minorHAnsi" w:cs="Times New Roman"/>
          <w:szCs w:val="20"/>
        </w:rPr>
        <w:t>’</w:t>
      </w:r>
      <w:r w:rsidRPr="007F455B">
        <w:rPr>
          <w:rFonts w:eastAsiaTheme="minorHAnsi" w:cs="Times New Roman"/>
          <w:szCs w:val="20"/>
        </w:rPr>
        <w:t>u</w:t>
      </w:r>
      <w:r>
        <w:rPr>
          <w:rFonts w:eastAsiaTheme="minorHAnsi" w:cs="Times New Roman"/>
          <w:szCs w:val="20"/>
        </w:rPr>
        <w:t>n</w:t>
      </w:r>
      <w:r w:rsidRPr="007F455B">
        <w:rPr>
          <w:rFonts w:eastAsiaTheme="minorHAnsi" w:cs="Times New Roman"/>
          <w:szCs w:val="20"/>
        </w:rPr>
        <w:t xml:space="preserve"> contrat</w:t>
      </w:r>
      <w:r>
        <w:rPr>
          <w:rFonts w:eastAsiaTheme="minorHAnsi" w:cs="Times New Roman"/>
          <w:szCs w:val="20"/>
        </w:rPr>
        <w:t xml:space="preserve"> de régulation économique en application du cinquième alinéa de l’article L. 6325-2 du code des transports</w:t>
      </w:r>
    </w:p>
    <w:p w14:paraId="23B39175" w14:textId="77777777" w:rsidR="006876BB" w:rsidRPr="00AB226A" w:rsidRDefault="006876BB" w:rsidP="006876BB"/>
    <w:p w14:paraId="3ADFE83B" w14:textId="61CB77DD" w:rsidR="009E3084" w:rsidRPr="00AB226A" w:rsidRDefault="00AE15E3" w:rsidP="007D5C26">
      <w:r w:rsidRPr="00AB226A">
        <w:t>Début :</w:t>
      </w:r>
      <w:r w:rsidRPr="00AB226A">
        <w:rPr>
          <w:b/>
        </w:rPr>
        <w:t xml:space="preserve"> </w:t>
      </w:r>
      <w:r w:rsidR="00241B34">
        <w:rPr>
          <w:b/>
        </w:rPr>
        <w:t>3</w:t>
      </w:r>
      <w:r w:rsidR="00241B34" w:rsidRPr="00BD10C0">
        <w:rPr>
          <w:b/>
        </w:rPr>
        <w:t xml:space="preserve"> </w:t>
      </w:r>
      <w:r w:rsidR="00360906">
        <w:rPr>
          <w:b/>
        </w:rPr>
        <w:t>juillet</w:t>
      </w:r>
      <w:r w:rsidR="00360906" w:rsidRPr="00E20686">
        <w:rPr>
          <w:b/>
        </w:rPr>
        <w:t xml:space="preserve"> </w:t>
      </w:r>
      <w:r w:rsidR="007F455B">
        <w:rPr>
          <w:b/>
        </w:rPr>
        <w:t>2026</w:t>
      </w:r>
    </w:p>
    <w:p w14:paraId="3ADCF826" w14:textId="1718F9D3" w:rsidR="004F2558" w:rsidRPr="00AB226A" w:rsidRDefault="007D5C26" w:rsidP="007D5C26">
      <w:r w:rsidRPr="00AB226A">
        <w:t xml:space="preserve">Fin : </w:t>
      </w:r>
      <w:r w:rsidR="00241B34">
        <w:rPr>
          <w:b/>
        </w:rPr>
        <w:t>30</w:t>
      </w:r>
      <w:r w:rsidR="00241B34" w:rsidRPr="00E20686">
        <w:rPr>
          <w:b/>
        </w:rPr>
        <w:t xml:space="preserve"> </w:t>
      </w:r>
      <w:r w:rsidR="007F455B">
        <w:rPr>
          <w:b/>
        </w:rPr>
        <w:t xml:space="preserve">juillet </w:t>
      </w:r>
      <w:r w:rsidR="004A05D5">
        <w:rPr>
          <w:b/>
        </w:rPr>
        <w:t>202</w:t>
      </w:r>
      <w:r w:rsidR="007F455B">
        <w:rPr>
          <w:b/>
        </w:rPr>
        <w:t>6</w:t>
      </w:r>
      <w:r w:rsidRPr="00AB226A">
        <w:t xml:space="preserve"> </w:t>
      </w:r>
    </w:p>
    <w:p w14:paraId="2A7616ED" w14:textId="77777777" w:rsidR="007D5C26" w:rsidRPr="00AB226A" w:rsidRDefault="007D5C26" w:rsidP="00AE15E3">
      <w:pPr>
        <w:spacing w:before="0"/>
        <w:rPr>
          <w:rFonts w:eastAsiaTheme="majorEastAsia" w:cstheme="majorBidi"/>
          <w:bCs/>
          <w:color w:val="878787" w:themeColor="text2"/>
          <w:szCs w:val="26"/>
        </w:rPr>
      </w:pPr>
    </w:p>
    <w:p w14:paraId="0F5A5C51" w14:textId="77777777" w:rsidR="005C1C51" w:rsidRPr="00AB226A" w:rsidRDefault="00344351" w:rsidP="00344351">
      <w:pPr>
        <w:pBdr>
          <w:bottom w:val="single" w:sz="4" w:space="1" w:color="263561"/>
        </w:pBdr>
        <w:tabs>
          <w:tab w:val="left" w:pos="2674"/>
        </w:tabs>
        <w:spacing w:before="0"/>
      </w:pPr>
      <w:r w:rsidRPr="00AB226A">
        <w:tab/>
      </w:r>
    </w:p>
    <w:p w14:paraId="18943737" w14:textId="77777777" w:rsidR="00AE15E3" w:rsidRDefault="00290A18" w:rsidP="00234CEE">
      <w:pPr>
        <w:pStyle w:val="Sous-titre"/>
        <w:rPr>
          <w:rFonts w:ascii="Roboto" w:hAnsi="Roboto"/>
        </w:rPr>
      </w:pPr>
      <w:r w:rsidRPr="00AB226A">
        <w:rPr>
          <w:rFonts w:ascii="Roboto" w:hAnsi="Roboto"/>
        </w:rPr>
        <w:t>C</w:t>
      </w:r>
      <w:r w:rsidR="00234CEE" w:rsidRPr="00AB226A">
        <w:rPr>
          <w:rFonts w:ascii="Roboto" w:hAnsi="Roboto"/>
        </w:rPr>
        <w:t>ontexte</w:t>
      </w:r>
    </w:p>
    <w:p w14:paraId="5353A132" w14:textId="5DCA50AE" w:rsidR="00A078AC" w:rsidRDefault="00A078AC" w:rsidP="0047146F">
      <w:r w:rsidRPr="00A078AC">
        <w:rPr>
          <w:b/>
          <w:bCs/>
        </w:rPr>
        <w:t xml:space="preserve">La loi DDADUE du 30 avril 2025 </w:t>
      </w:r>
      <w:r w:rsidRPr="00311266">
        <w:rPr>
          <w:b/>
          <w:bCs/>
        </w:rPr>
        <w:t xml:space="preserve">a introduit une dérogation à la durée maximale des </w:t>
      </w:r>
      <w:r w:rsidR="00F10719">
        <w:rPr>
          <w:b/>
          <w:bCs/>
        </w:rPr>
        <w:t>contrats de régulation économique (CRE)</w:t>
      </w:r>
      <w:r w:rsidRPr="00311266">
        <w:rPr>
          <w:b/>
          <w:bCs/>
        </w:rPr>
        <w:t xml:space="preserve"> de cinq années.</w:t>
      </w:r>
      <w:r>
        <w:t xml:space="preserve"> Par exception, cette durée peut être portée à dix</w:t>
      </w:r>
      <w:r w:rsidR="00B15ECB">
        <w:t> </w:t>
      </w:r>
      <w:r>
        <w:t>années notamment l</w:t>
      </w:r>
      <w:r w:rsidRPr="00966720">
        <w:t>orsque les spécificités du projet industriel de l’exploitant d’aérodrome le justifient au regard de la durée de réalisation des investissements et de leur montant</w:t>
      </w:r>
      <w:r>
        <w:t xml:space="preserve">. </w:t>
      </w:r>
    </w:p>
    <w:p w14:paraId="1A276A88" w14:textId="2D338CDD" w:rsidR="00A078AC" w:rsidRDefault="00A078AC" w:rsidP="0047146F">
      <w:pPr>
        <w:rPr>
          <w:b/>
          <w:bCs/>
        </w:rPr>
      </w:pPr>
      <w:r w:rsidRPr="00311266">
        <w:rPr>
          <w:b/>
          <w:bCs/>
        </w:rPr>
        <w:t xml:space="preserve">Cette dérogation fait l’objet d’un encadrement spécifique. </w:t>
      </w:r>
      <w:r>
        <w:t>En particulier</w:t>
      </w:r>
      <w:r w:rsidR="00B15ECB">
        <w:t>,</w:t>
      </w:r>
      <w:r>
        <w:t xml:space="preserve"> le CRE fait l’objet d’une procédure de « revoyure » quatre ans après le début du contrat en application de l’alinéa 5 de l’article</w:t>
      </w:r>
      <w:r w:rsidR="00B15ECB">
        <w:t> </w:t>
      </w:r>
      <w:r>
        <w:t>L.</w:t>
      </w:r>
      <w:r w:rsidR="00B15ECB">
        <w:t> </w:t>
      </w:r>
      <w:r>
        <w:t>6325-2 du code des transports</w:t>
      </w:r>
      <w:r w:rsidR="00F10719">
        <w:t>.</w:t>
      </w:r>
    </w:p>
    <w:p w14:paraId="0E284FF6" w14:textId="7D75F13A" w:rsidR="0047146F" w:rsidRDefault="0047146F" w:rsidP="0047146F">
      <w:r>
        <w:rPr>
          <w:b/>
          <w:bCs/>
        </w:rPr>
        <w:t xml:space="preserve">L’Autorité de régulation des transports (ART) s’est engagée à </w:t>
      </w:r>
      <w:r w:rsidR="00F10719">
        <w:rPr>
          <w:b/>
          <w:bCs/>
        </w:rPr>
        <w:t>publier des lignes directrices</w:t>
      </w:r>
      <w:r w:rsidR="00A078AC">
        <w:rPr>
          <w:b/>
          <w:bCs/>
        </w:rPr>
        <w:t xml:space="preserve"> sur les conditions </w:t>
      </w:r>
      <w:r w:rsidR="00F10719">
        <w:rPr>
          <w:b/>
          <w:bCs/>
        </w:rPr>
        <w:t>d’appréciation de la « revoyure »</w:t>
      </w:r>
      <w:r>
        <w:rPr>
          <w:b/>
          <w:bCs/>
        </w:rPr>
        <w:t xml:space="preserve"> </w:t>
      </w:r>
      <w:r>
        <w:t>dans son avis n° 2026-030 du 9 avril 2026 relatif à l’avant-projet de contrat de régulation économique entre l’État et la société Aéroports de Paris</w:t>
      </w:r>
      <w:r w:rsidR="00A078AC">
        <w:t>.</w:t>
      </w:r>
    </w:p>
    <w:p w14:paraId="1F083684" w14:textId="12B99FD9" w:rsidR="00F10719" w:rsidRDefault="00F10719" w:rsidP="0047146F">
      <w:r w:rsidRPr="00B15ECB">
        <w:rPr>
          <w:b/>
          <w:bCs/>
        </w:rPr>
        <w:t>Conformément à ses valeurs de dialogue</w:t>
      </w:r>
      <w:r w:rsidRPr="00B15ECB" w:rsidDel="00B71495">
        <w:rPr>
          <w:b/>
          <w:bCs/>
        </w:rPr>
        <w:t xml:space="preserve"> et de transparence</w:t>
      </w:r>
      <w:r w:rsidRPr="00B15ECB">
        <w:rPr>
          <w:b/>
          <w:bCs/>
        </w:rPr>
        <w:t xml:space="preserve">, </w:t>
      </w:r>
      <w:r w:rsidRPr="00311266">
        <w:rPr>
          <w:b/>
          <w:bCs/>
        </w:rPr>
        <w:t xml:space="preserve">l’Autorité soumet </w:t>
      </w:r>
      <w:r w:rsidR="00DD5E5D">
        <w:rPr>
          <w:b/>
          <w:bCs/>
        </w:rPr>
        <w:t xml:space="preserve">ses </w:t>
      </w:r>
      <w:r w:rsidR="002B127D">
        <w:rPr>
          <w:b/>
          <w:bCs/>
        </w:rPr>
        <w:t xml:space="preserve">orientations </w:t>
      </w:r>
      <w:r w:rsidR="00DD5E5D">
        <w:rPr>
          <w:b/>
          <w:bCs/>
        </w:rPr>
        <w:t xml:space="preserve">à la consultation publique </w:t>
      </w:r>
      <w:r>
        <w:t>afin que toute personne intéressée puisse lui faire part de ses observations.</w:t>
      </w:r>
    </w:p>
    <w:p w14:paraId="0170C376" w14:textId="77777777" w:rsidR="00AE15E3" w:rsidRPr="002679EA" w:rsidRDefault="00AE15E3" w:rsidP="002679EA">
      <w:pPr>
        <w:pBdr>
          <w:bottom w:val="single" w:sz="4" w:space="1" w:color="263561"/>
        </w:pBdr>
        <w:spacing w:before="0" w:after="0"/>
        <w:rPr>
          <w:sz w:val="18"/>
          <w:szCs w:val="16"/>
        </w:rPr>
      </w:pPr>
    </w:p>
    <w:p w14:paraId="7E15A334" w14:textId="77777777" w:rsidR="00C21FED" w:rsidRDefault="00C21FED" w:rsidP="002679EA">
      <w:pPr>
        <w:pStyle w:val="Sous-titre"/>
        <w:spacing w:before="0" w:after="360"/>
        <w:rPr>
          <w:rFonts w:ascii="Roboto" w:hAnsi="Roboto"/>
        </w:rPr>
      </w:pPr>
    </w:p>
    <w:p w14:paraId="74E7D5B4" w14:textId="77777777" w:rsidR="00C21FED" w:rsidRDefault="00C21FED">
      <w:pPr>
        <w:spacing w:before="0" w:after="0" w:line="280" w:lineRule="atLeast"/>
        <w:jc w:val="left"/>
        <w:rPr>
          <w:rFonts w:eastAsiaTheme="majorEastAsia" w:cstheme="majorBidi"/>
          <w:b/>
          <w:color w:val="24356D"/>
          <w:spacing w:val="5"/>
          <w:kern w:val="28"/>
          <w:sz w:val="24"/>
          <w:szCs w:val="52"/>
        </w:rPr>
      </w:pPr>
      <w:r>
        <w:br w:type="page"/>
      </w:r>
    </w:p>
    <w:p w14:paraId="5E6EC2B4" w14:textId="4BB4DF50" w:rsidR="006876BB" w:rsidRPr="00AB226A" w:rsidRDefault="006876BB" w:rsidP="002679EA">
      <w:pPr>
        <w:pStyle w:val="Sous-titre"/>
        <w:spacing w:before="0" w:after="360"/>
        <w:rPr>
          <w:rFonts w:ascii="Roboto" w:hAnsi="Roboto"/>
        </w:rPr>
      </w:pPr>
      <w:r w:rsidRPr="00AB226A">
        <w:rPr>
          <w:rFonts w:ascii="Roboto" w:hAnsi="Roboto"/>
        </w:rPr>
        <w:lastRenderedPageBreak/>
        <w:t>Objet</w:t>
      </w:r>
      <w:r w:rsidR="00290A18" w:rsidRPr="00AB226A">
        <w:rPr>
          <w:rFonts w:ascii="Roboto" w:hAnsi="Roboto"/>
        </w:rPr>
        <w:t xml:space="preserve"> et modalités de la consultation publique</w:t>
      </w:r>
    </w:p>
    <w:p w14:paraId="59030CB5" w14:textId="77777777" w:rsidR="00680495" w:rsidRPr="00AB226A" w:rsidRDefault="00680495" w:rsidP="00680495">
      <w:r w:rsidRPr="006F49E2">
        <w:t xml:space="preserve">Le présent document a pour objet de présenter des propositions et de recueillir les avis des </w:t>
      </w:r>
      <w:r>
        <w:t>personnes intéressées</w:t>
      </w:r>
      <w:r w:rsidRPr="006F49E2">
        <w:t xml:space="preserve"> </w:t>
      </w:r>
      <w:r>
        <w:t>en ce qui concerne les éléments pris en considération par l’Autorité lorsqu’elle est amenée à rendre un avis conforme sur la poursuite d’un contrat de régulation économique en application du cinquième alinéa de l’article L. 6325-2 du code des transports.</w:t>
      </w:r>
    </w:p>
    <w:p w14:paraId="650B6B3F" w14:textId="77777777" w:rsidR="00680495" w:rsidRPr="00AB226A" w:rsidRDefault="00680495" w:rsidP="00680495">
      <w:r w:rsidRPr="00AB226A">
        <w:t xml:space="preserve">Les personnes intéressées peuvent apporter toutes les observations qu’elles souhaitent sur </w:t>
      </w:r>
      <w:r>
        <w:t>ces éléments</w:t>
      </w:r>
      <w:r w:rsidRPr="00AB226A">
        <w:t xml:space="preserve"> et les problématiques qui y sont exposées.</w:t>
      </w:r>
    </w:p>
    <w:p w14:paraId="021E3485" w14:textId="4ECA596B" w:rsidR="00680495" w:rsidRPr="00AB226A" w:rsidRDefault="00680495" w:rsidP="00680495">
      <w:pPr>
        <w:rPr>
          <w:rFonts w:eastAsia="Franklin Gothic Book"/>
        </w:rPr>
      </w:pPr>
      <w:r w:rsidRPr="00AB226A">
        <w:rPr>
          <w:rFonts w:eastAsia="Franklin Gothic Book"/>
        </w:rPr>
        <w:t xml:space="preserve">Les observations sur le présent document, ainsi que toutes contributions qui apparaîtraient opportunes pour éclairer l’Autorité, peuvent être transmises </w:t>
      </w:r>
      <w:r w:rsidRPr="00241B34">
        <w:rPr>
          <w:rFonts w:eastAsia="Franklin Gothic Book"/>
        </w:rPr>
        <w:t xml:space="preserve">jusqu’au </w:t>
      </w:r>
      <w:r w:rsidR="00B15ECB" w:rsidRPr="00E84DF8">
        <w:rPr>
          <w:rFonts w:eastAsia="Franklin Gothic Book"/>
        </w:rPr>
        <w:t>30</w:t>
      </w:r>
      <w:r w:rsidRPr="00241B34">
        <w:rPr>
          <w:rFonts w:eastAsia="Franklin Gothic Book"/>
        </w:rPr>
        <w:t xml:space="preserve"> juill</w:t>
      </w:r>
      <w:r>
        <w:rPr>
          <w:rFonts w:eastAsia="Franklin Gothic Book"/>
        </w:rPr>
        <w:t>et 2026</w:t>
      </w:r>
      <w:r w:rsidRPr="00AB226A">
        <w:rPr>
          <w:rFonts w:eastAsia="Franklin Gothic Book"/>
        </w:rPr>
        <w:t>, soit :</w:t>
      </w:r>
    </w:p>
    <w:p w14:paraId="5DF93701" w14:textId="77777777" w:rsidR="00141E77" w:rsidRPr="00AB226A" w:rsidRDefault="00141E77" w:rsidP="00141E77">
      <w:pPr>
        <w:ind w:firstLine="708"/>
        <w:rPr>
          <w:rFonts w:eastAsia="Franklin Gothic Book"/>
        </w:rPr>
      </w:pPr>
      <w:r w:rsidRPr="00AB226A">
        <w:rPr>
          <w:rFonts w:eastAsia="Franklin Gothic Book"/>
        </w:rPr>
        <w:t xml:space="preserve">- de préférence par mail : </w:t>
      </w:r>
      <w:hyperlink r:id="rId8" w:history="1">
        <w:r w:rsidRPr="00D551C7">
          <w:rPr>
            <w:rStyle w:val="Lienhypertexte"/>
            <w:rFonts w:eastAsia="Franklin Gothic Book"/>
          </w:rPr>
          <w:t>consultation.publique@autorite-transports.fr</w:t>
        </w:r>
      </w:hyperlink>
      <w:r w:rsidRPr="00AB226A">
        <w:rPr>
          <w:rFonts w:eastAsia="Franklin Gothic Book"/>
          <w:color w:val="6C8A99"/>
          <w:u w:val="single"/>
        </w:rPr>
        <w:t xml:space="preserve"> </w:t>
      </w:r>
    </w:p>
    <w:p w14:paraId="3CC01162" w14:textId="77777777" w:rsidR="00141E77" w:rsidRPr="00AB226A" w:rsidRDefault="00141E77" w:rsidP="00141E77">
      <w:pPr>
        <w:ind w:firstLine="708"/>
        <w:rPr>
          <w:rFonts w:eastAsia="Franklin Gothic Book"/>
        </w:rPr>
      </w:pPr>
      <w:r w:rsidRPr="00AB226A">
        <w:rPr>
          <w:rFonts w:eastAsia="Franklin Gothic Book"/>
        </w:rPr>
        <w:t xml:space="preserve">- par courrier au siège : </w:t>
      </w:r>
      <w:r w:rsidRPr="004A05D5">
        <w:rPr>
          <w:rFonts w:eastAsia="Franklin Gothic Book"/>
        </w:rPr>
        <w:t>L’Autorité de régulation des transports</w:t>
      </w:r>
    </w:p>
    <w:p w14:paraId="2F67A549" w14:textId="17741C8D" w:rsidR="00141E77" w:rsidRPr="00AB226A" w:rsidRDefault="004A05D5" w:rsidP="006F49E2">
      <w:pPr>
        <w:ind w:left="708" w:firstLine="708"/>
        <w:rPr>
          <w:rFonts w:eastAsia="Franklin Gothic Book"/>
        </w:rPr>
      </w:pPr>
      <w:r>
        <w:rPr>
          <w:rFonts w:eastAsia="Franklin Gothic Book"/>
        </w:rPr>
        <w:t>11</w:t>
      </w:r>
      <w:r w:rsidR="007004C1">
        <w:rPr>
          <w:rFonts w:eastAsia="Franklin Gothic Book"/>
        </w:rPr>
        <w:t>,</w:t>
      </w:r>
      <w:r w:rsidR="00141E77" w:rsidRPr="00AB226A">
        <w:rPr>
          <w:rFonts w:eastAsia="Franklin Gothic Book"/>
        </w:rPr>
        <w:t xml:space="preserve"> </w:t>
      </w:r>
      <w:r>
        <w:rPr>
          <w:rFonts w:eastAsia="Franklin Gothic Book"/>
        </w:rPr>
        <w:t xml:space="preserve">Place des cinq </w:t>
      </w:r>
      <w:r w:rsidR="00EE2AE4">
        <w:rPr>
          <w:rFonts w:eastAsia="Franklin Gothic Book"/>
        </w:rPr>
        <w:t>M</w:t>
      </w:r>
      <w:r>
        <w:rPr>
          <w:rFonts w:eastAsia="Franklin Gothic Book"/>
        </w:rPr>
        <w:t>artyrs du Lycée Buffon</w:t>
      </w:r>
      <w:r w:rsidR="00141E77" w:rsidRPr="00AB226A">
        <w:rPr>
          <w:rFonts w:eastAsia="Franklin Gothic Book"/>
        </w:rPr>
        <w:t xml:space="preserve"> –</w:t>
      </w:r>
      <w:r w:rsidR="006F49E2">
        <w:rPr>
          <w:rFonts w:eastAsia="Franklin Gothic Book"/>
        </w:rPr>
        <w:t xml:space="preserve"> CS 30054 – </w:t>
      </w:r>
      <w:r w:rsidR="00141E77" w:rsidRPr="00AB226A">
        <w:rPr>
          <w:rFonts w:eastAsia="Franklin Gothic Book"/>
        </w:rPr>
        <w:t>7</w:t>
      </w:r>
      <w:r>
        <w:rPr>
          <w:rFonts w:eastAsia="Franklin Gothic Book"/>
        </w:rPr>
        <w:t>5</w:t>
      </w:r>
      <w:r w:rsidR="006F49E2">
        <w:rPr>
          <w:rFonts w:eastAsia="Franklin Gothic Book"/>
        </w:rPr>
        <w:t xml:space="preserve">675 </w:t>
      </w:r>
      <w:r>
        <w:rPr>
          <w:rFonts w:eastAsia="Franklin Gothic Book"/>
        </w:rPr>
        <w:t>Paris</w:t>
      </w:r>
      <w:r w:rsidR="00141E77" w:rsidRPr="00AB226A">
        <w:rPr>
          <w:rFonts w:eastAsia="Franklin Gothic Book"/>
        </w:rPr>
        <w:t xml:space="preserve"> </w:t>
      </w:r>
      <w:r w:rsidR="006F49E2">
        <w:rPr>
          <w:rFonts w:eastAsia="Franklin Gothic Book"/>
        </w:rPr>
        <w:t>Cedex 14</w:t>
      </w:r>
    </w:p>
    <w:p w14:paraId="363C9C57" w14:textId="5F1F03B0" w:rsidR="00234CEE" w:rsidRPr="00AB226A" w:rsidRDefault="00141E77" w:rsidP="00141E77">
      <w:r w:rsidRPr="00AB226A">
        <w:rPr>
          <w:rFonts w:eastAsia="Franklin Gothic Book"/>
        </w:rPr>
        <w:t>Sauf demande contraire expressément formulée, l’Autorité, dans un souci de transparence, publiera l’intégralité des commentaires qui lui auront été transmis, à l’exclusion des parties couvertes par un secret protégé par la loi et sous réserve</w:t>
      </w:r>
      <w:r w:rsidR="00C265E8">
        <w:rPr>
          <w:rFonts w:eastAsia="Franklin Gothic Book"/>
        </w:rPr>
        <w:t>,</w:t>
      </w:r>
      <w:r w:rsidRPr="00AB226A">
        <w:rPr>
          <w:rFonts w:eastAsia="Franklin Gothic Book"/>
        </w:rPr>
        <w:t xml:space="preserve"> </w:t>
      </w:r>
      <w:r w:rsidR="00C265E8" w:rsidRPr="00AB226A">
        <w:rPr>
          <w:rFonts w:eastAsia="Franklin Gothic Book"/>
        </w:rPr>
        <w:t xml:space="preserve">le cas échéant, </w:t>
      </w:r>
      <w:r w:rsidRPr="00AB226A">
        <w:rPr>
          <w:rFonts w:eastAsia="Franklin Gothic Book"/>
        </w:rPr>
        <w:t>des passages que les contributeurs souhaiteraient garder confidentiels</w:t>
      </w:r>
      <w:r w:rsidR="00234CEE" w:rsidRPr="00AB226A">
        <w:t>.</w:t>
      </w:r>
    </w:p>
    <w:p w14:paraId="4E467FA2" w14:textId="63C63333" w:rsidR="00234CEE" w:rsidRPr="00AB226A" w:rsidRDefault="0090344F" w:rsidP="00E54166">
      <w:r>
        <w:t>À</w:t>
      </w:r>
      <w:r w:rsidR="00234CEE" w:rsidRPr="00AB226A">
        <w:t xml:space="preserve"> cette fin, les contributeurs sont invités à indiquer précisément les éléments qu’ils considèrent devoir être couverts par un secret protégé par la loi</w:t>
      </w:r>
      <w:r w:rsidR="00C265E8">
        <w:t xml:space="preserve"> ou qu’ils souhaitent garder confidentiels</w:t>
      </w:r>
      <w:r w:rsidR="00234CEE" w:rsidRPr="00AB226A">
        <w:t>.</w:t>
      </w:r>
    </w:p>
    <w:p w14:paraId="019B5561" w14:textId="2588294A" w:rsidR="00234CEE" w:rsidRPr="00AB226A" w:rsidRDefault="00234CEE" w:rsidP="00E54166">
      <w:r w:rsidRPr="00AB226A">
        <w:t xml:space="preserve">L’Autorité se réserve </w:t>
      </w:r>
      <w:r w:rsidR="0090344F">
        <w:t xml:space="preserve">en tout état de cause </w:t>
      </w:r>
      <w:r w:rsidRPr="00AB226A">
        <w:t>le droit de publier une synthèse des contributions (sous réserve des éléments confidentiels), sans faire mention, le cas échéant, de leurs auteurs.</w:t>
      </w:r>
    </w:p>
    <w:p w14:paraId="58AEFE0B" w14:textId="77777777" w:rsidR="006876BB" w:rsidRPr="002B087E" w:rsidRDefault="006876BB" w:rsidP="002679EA">
      <w:pPr>
        <w:pStyle w:val="Sous-titre"/>
        <w:spacing w:before="240" w:after="240"/>
        <w:rPr>
          <w:rFonts w:ascii="Roboto" w:eastAsiaTheme="minorHAnsi" w:hAnsi="Roboto" w:cs="Times New Roman"/>
          <w:color w:val="auto"/>
          <w:spacing w:val="0"/>
          <w:kern w:val="0"/>
          <w:sz w:val="21"/>
          <w:szCs w:val="20"/>
        </w:rPr>
      </w:pPr>
      <w:r w:rsidRPr="002B087E">
        <w:rPr>
          <w:rFonts w:ascii="Roboto" w:hAnsi="Roboto"/>
        </w:rPr>
        <w:t>Références</w:t>
      </w:r>
    </w:p>
    <w:p w14:paraId="4C54D160" w14:textId="5AE865B5" w:rsidR="00AE15E3" w:rsidRPr="002B087E" w:rsidRDefault="00290A18" w:rsidP="003D54BD">
      <w:pPr>
        <w:rPr>
          <w:u w:val="single"/>
        </w:rPr>
      </w:pPr>
      <w:r w:rsidRPr="002B087E">
        <w:rPr>
          <w:u w:val="single"/>
        </w:rPr>
        <w:t>Directives</w:t>
      </w:r>
      <w:r w:rsidR="002B087E" w:rsidRPr="004846B9">
        <w:t> :</w:t>
      </w:r>
    </w:p>
    <w:p w14:paraId="6CF1207F" w14:textId="783E049C" w:rsidR="003D54BD" w:rsidRDefault="002B087E" w:rsidP="002B087E">
      <w:pPr>
        <w:pStyle w:val="Listeavis"/>
        <w:rPr>
          <w:szCs w:val="21"/>
        </w:rPr>
      </w:pPr>
      <w:r w:rsidRPr="002B087E">
        <w:rPr>
          <w:szCs w:val="21"/>
        </w:rPr>
        <w:t>Directive 2009/12/CE du Parlement européen et du Conseil du 11 mars 2009 sur les redevances</w:t>
      </w:r>
      <w:r>
        <w:rPr>
          <w:szCs w:val="21"/>
        </w:rPr>
        <w:t xml:space="preserve"> </w:t>
      </w:r>
      <w:r w:rsidRPr="002B087E">
        <w:rPr>
          <w:szCs w:val="21"/>
        </w:rPr>
        <w:t>aéroportuaires</w:t>
      </w:r>
    </w:p>
    <w:p w14:paraId="26A2D36E" w14:textId="4D3DA579" w:rsidR="00067DC8" w:rsidRPr="002B087E" w:rsidRDefault="00067DC8" w:rsidP="00067DC8">
      <w:pPr>
        <w:rPr>
          <w:u w:val="single"/>
        </w:rPr>
      </w:pPr>
      <w:r>
        <w:rPr>
          <w:u w:val="single"/>
        </w:rPr>
        <w:t>Loi</w:t>
      </w:r>
      <w:r w:rsidRPr="004846B9">
        <w:t> :</w:t>
      </w:r>
    </w:p>
    <w:p w14:paraId="4F95E040" w14:textId="1CF5F466" w:rsidR="00067DC8" w:rsidRDefault="00067DC8" w:rsidP="00067DC8">
      <w:pPr>
        <w:pStyle w:val="Listeavis"/>
        <w:rPr>
          <w:szCs w:val="21"/>
        </w:rPr>
      </w:pPr>
      <w:r w:rsidRPr="00067DC8">
        <w:rPr>
          <w:szCs w:val="21"/>
        </w:rPr>
        <w:t>Loi n° 2025-391 du 30 avril 2025 portant diverses dispositions d'adaptation au droit de l'Union européenne en matière économique, financière, environnementale, énergétique, de transport, de santé et de circulation des personnes</w:t>
      </w:r>
    </w:p>
    <w:p w14:paraId="3FA75B2E" w14:textId="1AF5C340" w:rsidR="00290A18" w:rsidRPr="00D551C7" w:rsidRDefault="00290A18" w:rsidP="003D54BD">
      <w:pPr>
        <w:rPr>
          <w:u w:val="single"/>
        </w:rPr>
      </w:pPr>
      <w:r w:rsidRPr="00D551C7">
        <w:rPr>
          <w:u w:val="single"/>
        </w:rPr>
        <w:t>Code des transports</w:t>
      </w:r>
      <w:r w:rsidR="002B087E" w:rsidRPr="00D551C7">
        <w:rPr>
          <w:u w:val="single"/>
        </w:rPr>
        <w:t>, en particulier</w:t>
      </w:r>
      <w:r w:rsidR="002B087E" w:rsidRPr="004846B9">
        <w:t> :</w:t>
      </w:r>
    </w:p>
    <w:p w14:paraId="2BBC4530" w14:textId="2CC939A2" w:rsidR="002B087E" w:rsidRPr="00D551C7" w:rsidRDefault="002B087E" w:rsidP="002B087E">
      <w:pPr>
        <w:pStyle w:val="Listeavis"/>
      </w:pPr>
      <w:r w:rsidRPr="00D551C7">
        <w:t>Article L. 6325-</w:t>
      </w:r>
      <w:r w:rsidR="00C21FED">
        <w:t>2</w:t>
      </w:r>
    </w:p>
    <w:p w14:paraId="1858CFEE" w14:textId="760EB1D5" w:rsidR="002B087E" w:rsidRPr="00D551C7" w:rsidRDefault="002B087E" w:rsidP="002B087E">
      <w:pPr>
        <w:pStyle w:val="Listeavis"/>
      </w:pPr>
      <w:r w:rsidRPr="00D551C7">
        <w:t>Article L. 6327-</w:t>
      </w:r>
      <w:r w:rsidR="00EE2AE4">
        <w:t>3</w:t>
      </w:r>
    </w:p>
    <w:p w14:paraId="3511E19E" w14:textId="1C8EA1E3" w:rsidR="002B087E" w:rsidRPr="00D551C7" w:rsidRDefault="002B087E" w:rsidP="002679EA">
      <w:pPr>
        <w:pStyle w:val="Listeavis"/>
        <w:keepNext/>
        <w:numPr>
          <w:ilvl w:val="0"/>
          <w:numId w:val="0"/>
        </w:numPr>
        <w:ind w:left="357" w:hanging="357"/>
        <w:rPr>
          <w:u w:val="single"/>
        </w:rPr>
      </w:pPr>
      <w:r w:rsidRPr="00D551C7">
        <w:rPr>
          <w:u w:val="single"/>
        </w:rPr>
        <w:lastRenderedPageBreak/>
        <w:t>Décisions de l’Autorité</w:t>
      </w:r>
      <w:r w:rsidRPr="004846B9">
        <w:t> :</w:t>
      </w:r>
    </w:p>
    <w:p w14:paraId="02E3C062" w14:textId="77777777" w:rsidR="00067DC8" w:rsidRDefault="00067DC8" w:rsidP="0019266E">
      <w:pPr>
        <w:pStyle w:val="Listeavis"/>
        <w:keepNext/>
        <w:ind w:left="357" w:hanging="357"/>
      </w:pPr>
      <w:r>
        <w:t>Avis n° 2025-094 du 16 décembre 2025 portant sur le projet de décret en Conseil d’État pris en application de l’article 26 de la loi n° 2025-391 du 30 avril 2025 portant diverses dispositions d’adaptation au droit de l’Union européenne (DDADUE)</w:t>
      </w:r>
    </w:p>
    <w:p w14:paraId="644C24AA" w14:textId="016E3E5F" w:rsidR="008F4542" w:rsidRDefault="008F4542" w:rsidP="0019266E">
      <w:pPr>
        <w:pStyle w:val="Listeavis"/>
        <w:keepNext/>
        <w:ind w:left="357" w:hanging="357"/>
      </w:pPr>
      <w:r>
        <w:t>Avis n° 202</w:t>
      </w:r>
      <w:r w:rsidR="00EE2AE4">
        <w:t>6</w:t>
      </w:r>
      <w:r>
        <w:t>-0</w:t>
      </w:r>
      <w:r w:rsidR="00EE2AE4">
        <w:t>30</w:t>
      </w:r>
      <w:r>
        <w:t xml:space="preserve"> du </w:t>
      </w:r>
      <w:r w:rsidR="00EE2AE4">
        <w:t>9</w:t>
      </w:r>
      <w:r>
        <w:t xml:space="preserve"> </w:t>
      </w:r>
      <w:r w:rsidR="00EE2AE4">
        <w:t xml:space="preserve">avril </w:t>
      </w:r>
      <w:r>
        <w:t>202</w:t>
      </w:r>
      <w:r w:rsidR="00EE2AE4">
        <w:t>6</w:t>
      </w:r>
      <w:r>
        <w:t xml:space="preserve"> </w:t>
      </w:r>
      <w:r w:rsidR="00EE2AE4">
        <w:t>relatif à</w:t>
      </w:r>
      <w:r w:rsidR="00EE2AE4" w:rsidRPr="00EE2AE4">
        <w:t xml:space="preserve"> l’avant-projet de contrat de régulation économique entre l’État et la société Aéroports de Paris pour la période du 1</w:t>
      </w:r>
      <w:r w:rsidR="00EE2AE4" w:rsidRPr="00EE2AE4">
        <w:rPr>
          <w:vertAlign w:val="superscript"/>
        </w:rPr>
        <w:t>er</w:t>
      </w:r>
      <w:r w:rsidR="00EE2AE4" w:rsidRPr="00EE2AE4">
        <w:t xml:space="preserve"> janvier 2027 au 31</w:t>
      </w:r>
      <w:r w:rsidR="00067DC8">
        <w:t> </w:t>
      </w:r>
      <w:r w:rsidR="00EE2AE4" w:rsidRPr="00EE2AE4">
        <w:t>décembre</w:t>
      </w:r>
      <w:r w:rsidR="00067DC8">
        <w:t> </w:t>
      </w:r>
      <w:r w:rsidR="00EE2AE4" w:rsidRPr="00EE2AE4">
        <w:t>2034</w:t>
      </w:r>
    </w:p>
    <w:p w14:paraId="4D148C06" w14:textId="17349B54" w:rsidR="00290A18" w:rsidRPr="008F4542" w:rsidRDefault="00290A18" w:rsidP="008F4542">
      <w:pPr>
        <w:pStyle w:val="Listeavis"/>
      </w:pPr>
      <w:r w:rsidRPr="008F4542">
        <w:rPr>
          <w:highlight w:val="yellow"/>
        </w:rPr>
        <w:br w:type="page"/>
      </w:r>
    </w:p>
    <w:p w14:paraId="284C9FB1" w14:textId="77777777" w:rsidR="006021BD" w:rsidRPr="00AB226A" w:rsidRDefault="00597CD5" w:rsidP="0000746F">
      <w:pPr>
        <w:pStyle w:val="Sous-titre"/>
        <w:rPr>
          <w:rFonts w:ascii="Roboto" w:hAnsi="Roboto"/>
        </w:rPr>
      </w:pPr>
      <w:r w:rsidRPr="00AB226A">
        <w:rPr>
          <w:rFonts w:ascii="Roboto" w:hAnsi="Roboto"/>
        </w:rPr>
        <w:lastRenderedPageBreak/>
        <w:t>Sommaire</w:t>
      </w:r>
    </w:p>
    <w:p w14:paraId="0ACB99E5" w14:textId="2A774271" w:rsidR="00E84DF8" w:rsidRDefault="00A576FF">
      <w:pPr>
        <w:pStyle w:val="TM1"/>
        <w:rPr>
          <w:rFonts w:asciiTheme="minorHAnsi" w:eastAsiaTheme="minorEastAsia" w:hAnsiTheme="minorHAnsi" w:cstheme="minorBidi"/>
          <w:caps w:val="0"/>
          <w:noProof/>
          <w:kern w:val="2"/>
          <w:sz w:val="24"/>
          <w:szCs w:val="24"/>
          <w14:ligatures w14:val="standardContextual"/>
        </w:rPr>
      </w:pPr>
      <w:r w:rsidRPr="00AB226A">
        <w:rPr>
          <w:b/>
          <w:color w:val="263561"/>
        </w:rPr>
        <w:fldChar w:fldCharType="begin"/>
      </w:r>
      <w:r w:rsidRPr="00AB226A">
        <w:rPr>
          <w:b/>
          <w:color w:val="263561"/>
        </w:rPr>
        <w:instrText xml:space="preserve"> TOC \o "1-3" \h \z \u </w:instrText>
      </w:r>
      <w:r w:rsidRPr="00AB226A">
        <w:rPr>
          <w:b/>
          <w:color w:val="263561"/>
        </w:rPr>
        <w:fldChar w:fldCharType="separate"/>
      </w:r>
      <w:hyperlink w:anchor="_Toc233976883" w:history="1">
        <w:r w:rsidR="00E84DF8" w:rsidRPr="00561F11">
          <w:rPr>
            <w:rStyle w:val="Lienhypertexte"/>
            <w:noProof/>
          </w:rPr>
          <w:t>1. Contexte et enjeux de la consultation publique</w:t>
        </w:r>
        <w:r w:rsidR="00E84DF8">
          <w:rPr>
            <w:noProof/>
            <w:webHidden/>
          </w:rPr>
          <w:tab/>
        </w:r>
        <w:r w:rsidR="00E84DF8">
          <w:rPr>
            <w:noProof/>
            <w:webHidden/>
          </w:rPr>
          <w:fldChar w:fldCharType="begin"/>
        </w:r>
        <w:r w:rsidR="00E84DF8">
          <w:rPr>
            <w:noProof/>
            <w:webHidden/>
          </w:rPr>
          <w:instrText xml:space="preserve"> PAGEREF _Toc233976883 \h </w:instrText>
        </w:r>
        <w:r w:rsidR="00E84DF8">
          <w:rPr>
            <w:noProof/>
            <w:webHidden/>
          </w:rPr>
        </w:r>
        <w:r w:rsidR="00E84DF8">
          <w:rPr>
            <w:noProof/>
            <w:webHidden/>
          </w:rPr>
          <w:fldChar w:fldCharType="separate"/>
        </w:r>
        <w:r w:rsidR="00983FBC">
          <w:rPr>
            <w:noProof/>
            <w:webHidden/>
          </w:rPr>
          <w:t>5</w:t>
        </w:r>
        <w:r w:rsidR="00E84DF8">
          <w:rPr>
            <w:noProof/>
            <w:webHidden/>
          </w:rPr>
          <w:fldChar w:fldCharType="end"/>
        </w:r>
      </w:hyperlink>
    </w:p>
    <w:p w14:paraId="3FDB964C" w14:textId="7290FBF3" w:rsidR="00E84DF8" w:rsidRDefault="00E84DF8">
      <w:pPr>
        <w:pStyle w:val="TM1"/>
        <w:rPr>
          <w:rFonts w:asciiTheme="minorHAnsi" w:eastAsiaTheme="minorEastAsia" w:hAnsiTheme="minorHAnsi" w:cstheme="minorBidi"/>
          <w:caps w:val="0"/>
          <w:noProof/>
          <w:kern w:val="2"/>
          <w:sz w:val="24"/>
          <w:szCs w:val="24"/>
          <w14:ligatures w14:val="standardContextual"/>
        </w:rPr>
      </w:pPr>
      <w:hyperlink w:anchor="_Toc233976884" w:history="1">
        <w:r w:rsidRPr="00561F11">
          <w:rPr>
            <w:rStyle w:val="Lienhypertexte"/>
            <w:noProof/>
          </w:rPr>
          <w:t>2. Proposition de doctrine de l’Autorité</w:t>
        </w:r>
        <w:r>
          <w:rPr>
            <w:noProof/>
            <w:webHidden/>
          </w:rPr>
          <w:tab/>
        </w:r>
        <w:r>
          <w:rPr>
            <w:noProof/>
            <w:webHidden/>
          </w:rPr>
          <w:fldChar w:fldCharType="begin"/>
        </w:r>
        <w:r>
          <w:rPr>
            <w:noProof/>
            <w:webHidden/>
          </w:rPr>
          <w:instrText xml:space="preserve"> PAGEREF _Toc233976884 \h </w:instrText>
        </w:r>
        <w:r>
          <w:rPr>
            <w:noProof/>
            <w:webHidden/>
          </w:rPr>
        </w:r>
        <w:r>
          <w:rPr>
            <w:noProof/>
            <w:webHidden/>
          </w:rPr>
          <w:fldChar w:fldCharType="separate"/>
        </w:r>
        <w:r w:rsidR="00983FBC">
          <w:rPr>
            <w:noProof/>
            <w:webHidden/>
          </w:rPr>
          <w:t>7</w:t>
        </w:r>
        <w:r>
          <w:rPr>
            <w:noProof/>
            <w:webHidden/>
          </w:rPr>
          <w:fldChar w:fldCharType="end"/>
        </w:r>
      </w:hyperlink>
    </w:p>
    <w:p w14:paraId="6621AC9C" w14:textId="13FE54EB" w:rsidR="00E84DF8" w:rsidRDefault="00E84DF8">
      <w:pPr>
        <w:pStyle w:val="TM2"/>
        <w:rPr>
          <w:rFonts w:asciiTheme="minorHAnsi" w:eastAsiaTheme="minorEastAsia" w:hAnsiTheme="minorHAnsi" w:cstheme="minorBidi"/>
          <w:noProof/>
          <w:kern w:val="2"/>
          <w:sz w:val="24"/>
          <w:szCs w:val="24"/>
          <w14:ligatures w14:val="standardContextual"/>
        </w:rPr>
      </w:pPr>
      <w:hyperlink w:anchor="_Toc233976885" w:history="1">
        <w:r w:rsidRPr="00561F11">
          <w:rPr>
            <w:rStyle w:val="Lienhypertexte"/>
            <w:noProof/>
          </w:rPr>
          <w:t>2.1. Objet de l'avis conforme de l’Autorité sollicité par l'exploitant</w:t>
        </w:r>
        <w:r>
          <w:rPr>
            <w:noProof/>
            <w:webHidden/>
          </w:rPr>
          <w:tab/>
        </w:r>
        <w:r>
          <w:rPr>
            <w:noProof/>
            <w:webHidden/>
          </w:rPr>
          <w:fldChar w:fldCharType="begin"/>
        </w:r>
        <w:r>
          <w:rPr>
            <w:noProof/>
            <w:webHidden/>
          </w:rPr>
          <w:instrText xml:space="preserve"> PAGEREF _Toc233976885 \h </w:instrText>
        </w:r>
        <w:r>
          <w:rPr>
            <w:noProof/>
            <w:webHidden/>
          </w:rPr>
        </w:r>
        <w:r>
          <w:rPr>
            <w:noProof/>
            <w:webHidden/>
          </w:rPr>
          <w:fldChar w:fldCharType="separate"/>
        </w:r>
        <w:r w:rsidR="00983FBC">
          <w:rPr>
            <w:noProof/>
            <w:webHidden/>
          </w:rPr>
          <w:t>7</w:t>
        </w:r>
        <w:r>
          <w:rPr>
            <w:noProof/>
            <w:webHidden/>
          </w:rPr>
          <w:fldChar w:fldCharType="end"/>
        </w:r>
      </w:hyperlink>
    </w:p>
    <w:p w14:paraId="34E7D60F" w14:textId="3986FDB4" w:rsidR="00E84DF8" w:rsidRDefault="00E84DF8">
      <w:pPr>
        <w:pStyle w:val="TM3"/>
        <w:rPr>
          <w:rFonts w:asciiTheme="minorHAnsi" w:eastAsiaTheme="minorEastAsia" w:hAnsiTheme="minorHAnsi" w:cstheme="minorBidi"/>
          <w:kern w:val="2"/>
          <w:sz w:val="24"/>
          <w:szCs w:val="24"/>
          <w14:ligatures w14:val="standardContextual"/>
        </w:rPr>
      </w:pPr>
      <w:hyperlink w:anchor="_Toc233976886" w:history="1">
        <w:r w:rsidRPr="00561F11">
          <w:rPr>
            <w:rStyle w:val="Lienhypertexte"/>
          </w:rPr>
          <w:t>2.1.1. Sur la notion de modification substantielle</w:t>
        </w:r>
        <w:r>
          <w:rPr>
            <w:webHidden/>
          </w:rPr>
          <w:tab/>
        </w:r>
        <w:r>
          <w:rPr>
            <w:webHidden/>
          </w:rPr>
          <w:fldChar w:fldCharType="begin"/>
        </w:r>
        <w:r>
          <w:rPr>
            <w:webHidden/>
          </w:rPr>
          <w:instrText xml:space="preserve"> PAGEREF _Toc233976886 \h </w:instrText>
        </w:r>
        <w:r>
          <w:rPr>
            <w:webHidden/>
          </w:rPr>
        </w:r>
        <w:r>
          <w:rPr>
            <w:webHidden/>
          </w:rPr>
          <w:fldChar w:fldCharType="separate"/>
        </w:r>
        <w:r w:rsidR="00983FBC">
          <w:rPr>
            <w:webHidden/>
          </w:rPr>
          <w:t>7</w:t>
        </w:r>
        <w:r>
          <w:rPr>
            <w:webHidden/>
          </w:rPr>
          <w:fldChar w:fldCharType="end"/>
        </w:r>
      </w:hyperlink>
    </w:p>
    <w:p w14:paraId="3D0BBAD1" w14:textId="7A3A42DE" w:rsidR="00E84DF8" w:rsidRDefault="00E84DF8">
      <w:pPr>
        <w:pStyle w:val="TM3"/>
        <w:rPr>
          <w:rFonts w:asciiTheme="minorHAnsi" w:eastAsiaTheme="minorEastAsia" w:hAnsiTheme="minorHAnsi" w:cstheme="minorBidi"/>
          <w:kern w:val="2"/>
          <w:sz w:val="24"/>
          <w:szCs w:val="24"/>
          <w14:ligatures w14:val="standardContextual"/>
        </w:rPr>
      </w:pPr>
      <w:hyperlink w:anchor="_Toc233976887" w:history="1">
        <w:r w:rsidRPr="00561F11">
          <w:rPr>
            <w:rStyle w:val="Lienhypertexte"/>
          </w:rPr>
          <w:t>2.1.2. Sur les évolutions du projet industriel</w:t>
        </w:r>
        <w:r>
          <w:rPr>
            <w:webHidden/>
          </w:rPr>
          <w:tab/>
        </w:r>
        <w:r>
          <w:rPr>
            <w:webHidden/>
          </w:rPr>
          <w:fldChar w:fldCharType="begin"/>
        </w:r>
        <w:r>
          <w:rPr>
            <w:webHidden/>
          </w:rPr>
          <w:instrText xml:space="preserve"> PAGEREF _Toc233976887 \h </w:instrText>
        </w:r>
        <w:r>
          <w:rPr>
            <w:webHidden/>
          </w:rPr>
        </w:r>
        <w:r>
          <w:rPr>
            <w:webHidden/>
          </w:rPr>
          <w:fldChar w:fldCharType="separate"/>
        </w:r>
        <w:r w:rsidR="00983FBC">
          <w:rPr>
            <w:webHidden/>
          </w:rPr>
          <w:t>8</w:t>
        </w:r>
        <w:r>
          <w:rPr>
            <w:webHidden/>
          </w:rPr>
          <w:fldChar w:fldCharType="end"/>
        </w:r>
      </w:hyperlink>
    </w:p>
    <w:p w14:paraId="060AB4B4" w14:textId="10A32D7F" w:rsidR="00E84DF8" w:rsidRDefault="00E84DF8">
      <w:pPr>
        <w:pStyle w:val="TM3"/>
        <w:rPr>
          <w:rFonts w:asciiTheme="minorHAnsi" w:eastAsiaTheme="minorEastAsia" w:hAnsiTheme="minorHAnsi" w:cstheme="minorBidi"/>
          <w:kern w:val="2"/>
          <w:sz w:val="24"/>
          <w:szCs w:val="24"/>
          <w14:ligatures w14:val="standardContextual"/>
        </w:rPr>
      </w:pPr>
      <w:hyperlink w:anchor="_Toc233976888" w:history="1">
        <w:r w:rsidRPr="00561F11">
          <w:rPr>
            <w:rStyle w:val="Lienhypertexte"/>
          </w:rPr>
          <w:t>2.1.3. Sur les éléments prévisionnels du contrat</w:t>
        </w:r>
        <w:r>
          <w:rPr>
            <w:webHidden/>
          </w:rPr>
          <w:tab/>
        </w:r>
        <w:r>
          <w:rPr>
            <w:webHidden/>
          </w:rPr>
          <w:fldChar w:fldCharType="begin"/>
        </w:r>
        <w:r>
          <w:rPr>
            <w:webHidden/>
          </w:rPr>
          <w:instrText xml:space="preserve"> PAGEREF _Toc233976888 \h </w:instrText>
        </w:r>
        <w:r>
          <w:rPr>
            <w:webHidden/>
          </w:rPr>
        </w:r>
        <w:r>
          <w:rPr>
            <w:webHidden/>
          </w:rPr>
          <w:fldChar w:fldCharType="separate"/>
        </w:r>
        <w:r w:rsidR="00983FBC">
          <w:rPr>
            <w:webHidden/>
          </w:rPr>
          <w:t>10</w:t>
        </w:r>
        <w:r>
          <w:rPr>
            <w:webHidden/>
          </w:rPr>
          <w:fldChar w:fldCharType="end"/>
        </w:r>
      </w:hyperlink>
    </w:p>
    <w:p w14:paraId="63C30986" w14:textId="47123937" w:rsidR="00E84DF8" w:rsidRDefault="00E84DF8">
      <w:pPr>
        <w:pStyle w:val="TM3"/>
        <w:rPr>
          <w:rFonts w:asciiTheme="minorHAnsi" w:eastAsiaTheme="minorEastAsia" w:hAnsiTheme="minorHAnsi" w:cstheme="minorBidi"/>
          <w:kern w:val="2"/>
          <w:sz w:val="24"/>
          <w:szCs w:val="24"/>
          <w14:ligatures w14:val="standardContextual"/>
        </w:rPr>
      </w:pPr>
      <w:hyperlink w:anchor="_Toc233976889" w:history="1">
        <w:r w:rsidRPr="00561F11">
          <w:rPr>
            <w:rStyle w:val="Lienhypertexte"/>
          </w:rPr>
          <w:t>2.1.4. Sur l’office de l’Autorité</w:t>
        </w:r>
        <w:r>
          <w:rPr>
            <w:webHidden/>
          </w:rPr>
          <w:tab/>
        </w:r>
        <w:r>
          <w:rPr>
            <w:webHidden/>
          </w:rPr>
          <w:fldChar w:fldCharType="begin"/>
        </w:r>
        <w:r>
          <w:rPr>
            <w:webHidden/>
          </w:rPr>
          <w:instrText xml:space="preserve"> PAGEREF _Toc233976889 \h </w:instrText>
        </w:r>
        <w:r>
          <w:rPr>
            <w:webHidden/>
          </w:rPr>
        </w:r>
        <w:r>
          <w:rPr>
            <w:webHidden/>
          </w:rPr>
          <w:fldChar w:fldCharType="separate"/>
        </w:r>
        <w:r w:rsidR="00983FBC">
          <w:rPr>
            <w:webHidden/>
          </w:rPr>
          <w:t>12</w:t>
        </w:r>
        <w:r>
          <w:rPr>
            <w:webHidden/>
          </w:rPr>
          <w:fldChar w:fldCharType="end"/>
        </w:r>
      </w:hyperlink>
    </w:p>
    <w:p w14:paraId="4C5132FE" w14:textId="5C24C024" w:rsidR="00E84DF8" w:rsidRDefault="00E84DF8">
      <w:pPr>
        <w:pStyle w:val="TM2"/>
        <w:rPr>
          <w:rFonts w:asciiTheme="minorHAnsi" w:eastAsiaTheme="minorEastAsia" w:hAnsiTheme="minorHAnsi" w:cstheme="minorBidi"/>
          <w:noProof/>
          <w:kern w:val="2"/>
          <w:sz w:val="24"/>
          <w:szCs w:val="24"/>
          <w14:ligatures w14:val="standardContextual"/>
        </w:rPr>
      </w:pPr>
      <w:hyperlink w:anchor="_Toc233976890" w:history="1">
        <w:r w:rsidRPr="00561F11">
          <w:rPr>
            <w:rStyle w:val="Lienhypertexte"/>
            <w:noProof/>
          </w:rPr>
          <w:t>2.2. La consultation préalable des usagers doit éclairer l’Autorité</w:t>
        </w:r>
        <w:r>
          <w:rPr>
            <w:noProof/>
            <w:webHidden/>
          </w:rPr>
          <w:tab/>
        </w:r>
        <w:r>
          <w:rPr>
            <w:noProof/>
            <w:webHidden/>
          </w:rPr>
          <w:fldChar w:fldCharType="begin"/>
        </w:r>
        <w:r>
          <w:rPr>
            <w:noProof/>
            <w:webHidden/>
          </w:rPr>
          <w:instrText xml:space="preserve"> PAGEREF _Toc233976890 \h </w:instrText>
        </w:r>
        <w:r>
          <w:rPr>
            <w:noProof/>
            <w:webHidden/>
          </w:rPr>
        </w:r>
        <w:r>
          <w:rPr>
            <w:noProof/>
            <w:webHidden/>
          </w:rPr>
          <w:fldChar w:fldCharType="separate"/>
        </w:r>
        <w:r w:rsidR="00983FBC">
          <w:rPr>
            <w:noProof/>
            <w:webHidden/>
          </w:rPr>
          <w:t>12</w:t>
        </w:r>
        <w:r>
          <w:rPr>
            <w:noProof/>
            <w:webHidden/>
          </w:rPr>
          <w:fldChar w:fldCharType="end"/>
        </w:r>
      </w:hyperlink>
    </w:p>
    <w:p w14:paraId="0A357E5D" w14:textId="621E27E4" w:rsidR="00AE15E3" w:rsidRPr="00AB226A" w:rsidRDefault="00A576FF" w:rsidP="00AE15E3">
      <w:r w:rsidRPr="00AB226A">
        <w:rPr>
          <w:b/>
          <w:color w:val="263561"/>
        </w:rPr>
        <w:fldChar w:fldCharType="end"/>
      </w:r>
    </w:p>
    <w:p w14:paraId="413D5B06" w14:textId="77777777" w:rsidR="006021BD" w:rsidRPr="00AB226A" w:rsidRDefault="006021BD">
      <w:pPr>
        <w:spacing w:before="0" w:after="0" w:line="280" w:lineRule="atLeast"/>
        <w:jc w:val="left"/>
        <w:rPr>
          <w:rFonts w:eastAsiaTheme="majorEastAsia" w:cstheme="minorHAnsi"/>
          <w:bCs/>
          <w:noProof/>
          <w:color w:val="878787" w:themeColor="text2"/>
          <w:sz w:val="22"/>
          <w:szCs w:val="24"/>
        </w:rPr>
      </w:pPr>
    </w:p>
    <w:p w14:paraId="69D9D995" w14:textId="77777777" w:rsidR="00774880" w:rsidRPr="00AB226A" w:rsidRDefault="00774880">
      <w:pPr>
        <w:spacing w:before="0" w:after="0" w:line="280" w:lineRule="atLeast"/>
        <w:jc w:val="left"/>
        <w:rPr>
          <w:rFonts w:eastAsiaTheme="majorEastAsia" w:cstheme="minorHAnsi"/>
          <w:b/>
          <w:bCs/>
          <w:caps/>
          <w:noProof/>
          <w:color w:val="878787" w:themeColor="text2"/>
          <w:sz w:val="22"/>
          <w:szCs w:val="24"/>
        </w:rPr>
      </w:pPr>
      <w:r w:rsidRPr="00AB226A">
        <w:br w:type="page"/>
      </w:r>
    </w:p>
    <w:p w14:paraId="15150403" w14:textId="2D534DB7" w:rsidR="007004C1" w:rsidRPr="00977D39" w:rsidRDefault="007004C1" w:rsidP="007004C1">
      <w:pPr>
        <w:pStyle w:val="Titre1"/>
      </w:pPr>
      <w:bookmarkStart w:id="0" w:name="_Toc233976883"/>
      <w:r w:rsidRPr="00977D39">
        <w:lastRenderedPageBreak/>
        <w:t>Contexte</w:t>
      </w:r>
      <w:r w:rsidR="00067DC8">
        <w:t xml:space="preserve"> et enjeux de la consultation publique</w:t>
      </w:r>
      <w:bookmarkEnd w:id="0"/>
    </w:p>
    <w:p w14:paraId="09CECF30" w14:textId="77777777" w:rsidR="00067DC8" w:rsidRPr="00067DC8" w:rsidRDefault="00067DC8" w:rsidP="00067DC8">
      <w:r w:rsidRPr="00067DC8">
        <w:t>Conformément à l’article L. 6325-1 du code des transports, les services publics aéroportuaires donnent lieu à la perception de redevances pour services rendus.</w:t>
      </w:r>
    </w:p>
    <w:p w14:paraId="5DEF2CAB" w14:textId="0F33FF8B" w:rsidR="00067DC8" w:rsidRPr="00067DC8" w:rsidRDefault="00067DC8" w:rsidP="00067DC8">
      <w:r w:rsidRPr="00067DC8">
        <w:t>En application de l’article L. 6325-2 du code des transports, les redevances sont fixées annuellement ou, pour Aéroports de Paris et les autres aérodromes relevant de la compétence de l’</w:t>
      </w:r>
      <w:r w:rsidR="000E43F2" w:rsidRPr="00067DC8">
        <w:t>État</w:t>
      </w:r>
      <w:r w:rsidRPr="00067DC8">
        <w:t xml:space="preserve">, sur une base pluriannuelle lorsque l’exploitant a conclu avec l’État un contrat de régulation économique (ci-après « CRE »). </w:t>
      </w:r>
    </w:p>
    <w:p w14:paraId="3B9179DB" w14:textId="0A2312B1" w:rsidR="00067DC8" w:rsidRPr="00966720" w:rsidRDefault="00067DC8" w:rsidP="00067DC8">
      <w:r w:rsidRPr="00966720">
        <w:t>Les CRE reposent sur un mécanisme</w:t>
      </w:r>
      <w:r w:rsidR="00265148">
        <w:t xml:space="preserve"> de régulation</w:t>
      </w:r>
      <w:r w:rsidRPr="00966720">
        <w:t xml:space="preserve"> de type « </w:t>
      </w:r>
      <w:proofErr w:type="spellStart"/>
      <w:r w:rsidRPr="00E357AD">
        <w:rPr>
          <w:i/>
          <w:iCs/>
        </w:rPr>
        <w:t>price</w:t>
      </w:r>
      <w:proofErr w:type="spellEnd"/>
      <w:r w:rsidRPr="00E357AD">
        <w:rPr>
          <w:i/>
          <w:iCs/>
        </w:rPr>
        <w:t xml:space="preserve"> cap</w:t>
      </w:r>
      <w:r w:rsidRPr="00966720">
        <w:t xml:space="preserve"> »</w:t>
      </w:r>
      <w:r w:rsidR="000724B5">
        <w:rPr>
          <w:rStyle w:val="Appelnotedebasdep"/>
        </w:rPr>
        <w:footnoteReference w:id="1"/>
      </w:r>
      <w:r w:rsidRPr="00966720">
        <w:t xml:space="preserve">. Ce type de régulation vise à concilier deux objectifs : </w:t>
      </w:r>
    </w:p>
    <w:p w14:paraId="56FCA950" w14:textId="62B5395B" w:rsidR="00067DC8" w:rsidRPr="00067DC8" w:rsidRDefault="00067DC8">
      <w:pPr>
        <w:pStyle w:val="Paragraphenumrot"/>
      </w:pPr>
      <w:r w:rsidRPr="00067DC8">
        <w:t>d’une part, elle cherche à inciter l’exploitant à améliorer son efficacité. Cet objectif suppose de laisser à l’exploitant, pendant une période limitée, le bénéfice des gains de productivité qu’il réalise</w:t>
      </w:r>
      <w:r w:rsidR="00343479">
        <w:t> ;</w:t>
      </w:r>
    </w:p>
    <w:p w14:paraId="35F84B56" w14:textId="0F04DBDE" w:rsidR="00067DC8" w:rsidRPr="00067DC8" w:rsidRDefault="00067DC8">
      <w:pPr>
        <w:pStyle w:val="Paragraphenumrot"/>
      </w:pPr>
      <w:r w:rsidRPr="00067DC8">
        <w:t>d’autre part, elle doit éviter qu’une part excessive de ces gains soit durablement captée par l’exploitant au détriment des usagers, ce qui suppose que la durée des périodes de régulation ne soit pas trop étendue. Telle est la raison pour laquelle elle est généralement comprise entre quatre et six ans : une telle durée permet de construire un équilibre entre, d’une part, des incitations suffisantes à l’efficacité</w:t>
      </w:r>
      <w:r w:rsidR="000E43F2">
        <w:t xml:space="preserve"> et</w:t>
      </w:r>
      <w:r w:rsidRPr="00067DC8">
        <w:t xml:space="preserve">, d’autre part, un partage relativement rapide des gains de productivité avec les usagers. </w:t>
      </w:r>
    </w:p>
    <w:p w14:paraId="116F03F4" w14:textId="34F9D538" w:rsidR="00067DC8" w:rsidRDefault="00A0032B" w:rsidP="00067DC8">
      <w:r>
        <w:t xml:space="preserve">La régulation pluriannuelle permet à l’ensemble des parties prenantes de bénéficier de visibilité sur les tarifs et favorise les investissements. </w:t>
      </w:r>
      <w:r w:rsidR="00067DC8">
        <w:t>L</w:t>
      </w:r>
      <w:r>
        <w:t>eur</w:t>
      </w:r>
      <w:r w:rsidR="00067DC8">
        <w:t xml:space="preserve"> durée maximale est de cinq années. Par exception, cette durée peut être portée à dix</w:t>
      </w:r>
      <w:r w:rsidR="00B15ECB">
        <w:t> </w:t>
      </w:r>
      <w:r w:rsidR="00067DC8">
        <w:t>années en application de l’article L. 6325-2 du code des</w:t>
      </w:r>
      <w:r w:rsidR="000E43F2">
        <w:t> </w:t>
      </w:r>
      <w:r w:rsidR="00067DC8">
        <w:t>transports</w:t>
      </w:r>
      <w:r w:rsidR="00107055">
        <w:t> :</w:t>
      </w:r>
    </w:p>
    <w:p w14:paraId="6AF755B8" w14:textId="4FB10CDD" w:rsidR="00067DC8" w:rsidRPr="00966720" w:rsidRDefault="00DF2CB8">
      <w:pPr>
        <w:pStyle w:val="Paragraphenumrot"/>
      </w:pPr>
      <w:r>
        <w:t>l</w:t>
      </w:r>
      <w:r w:rsidR="00067DC8" w:rsidRPr="00966720">
        <w:t xml:space="preserve">orsqu’il s’agit du premier contrat pluriannuel conclu à la suite de l’attribution d’un contrat de concession pour la construction, l’entretien et l’exploitation d’un aérodrome ; </w:t>
      </w:r>
    </w:p>
    <w:p w14:paraId="5671A55A" w14:textId="73244A1A" w:rsidR="00067DC8" w:rsidRDefault="00DF2CB8">
      <w:pPr>
        <w:pStyle w:val="Paragraphenumrot"/>
      </w:pPr>
      <w:r>
        <w:t>l</w:t>
      </w:r>
      <w:r w:rsidR="00067DC8" w:rsidRPr="00966720">
        <w:t xml:space="preserve">orsque les spécificités du projet industriel de l’exploitant d’aérodrome le justifient au regard de la durée de réalisation des investissements et de leur montant. </w:t>
      </w:r>
    </w:p>
    <w:p w14:paraId="71200837" w14:textId="3D791101" w:rsidR="00DF2CB8" w:rsidRDefault="00DF2CB8" w:rsidP="00DF2CB8">
      <w:r>
        <w:t xml:space="preserve">Ce dernier cas fait l’objet d’un encadrement spécifique : </w:t>
      </w:r>
    </w:p>
    <w:p w14:paraId="74E80908" w14:textId="01C23A3E" w:rsidR="00DF2CB8" w:rsidRDefault="00DF2CB8">
      <w:pPr>
        <w:pStyle w:val="Paragraphenumrot"/>
      </w:pPr>
      <w:r>
        <w:t xml:space="preserve">d’une part, « </w:t>
      </w:r>
      <w:r w:rsidRPr="0021376B">
        <w:t>ce régime dérogatoire fait l’objet d’une consultation des usagers par l’exploitant d’aérodrome, qui leur présente les spécificités du projet industriel concerné</w:t>
      </w:r>
      <w:r>
        <w:t xml:space="preserve"> »</w:t>
      </w:r>
      <w:r w:rsidRPr="00B15ECB">
        <w:rPr>
          <w:vertAlign w:val="superscript"/>
        </w:rPr>
        <w:footnoteReference w:id="2"/>
      </w:r>
      <w:r w:rsidRPr="004D13A9">
        <w:rPr>
          <w:vertAlign w:val="superscript"/>
        </w:rPr>
        <w:t xml:space="preserve"> </w:t>
      </w:r>
      <w:r>
        <w:t xml:space="preserve"> ; </w:t>
      </w:r>
    </w:p>
    <w:p w14:paraId="04AF7D35" w14:textId="207DFCE2" w:rsidR="00DF2CB8" w:rsidRDefault="00DF2CB8">
      <w:pPr>
        <w:pStyle w:val="Paragraphenumrot"/>
      </w:pPr>
      <w:r>
        <w:t xml:space="preserve">d’autre part, </w:t>
      </w:r>
      <w:r w:rsidR="008A3F5D">
        <w:t>l’Autorité</w:t>
      </w:r>
      <w:r>
        <w:t xml:space="preserve"> se prononce</w:t>
      </w:r>
      <w:r w:rsidR="008A3F5D">
        <w:t xml:space="preserve"> </w:t>
      </w:r>
      <w:r>
        <w:t xml:space="preserve">« </w:t>
      </w:r>
      <w:r w:rsidR="008A3F5D" w:rsidRPr="004846B9">
        <w:t>par avis conforme</w:t>
      </w:r>
      <w:r w:rsidR="008A3F5D" w:rsidRPr="008A3F5D">
        <w:rPr>
          <w:rFonts w:cs="Times New Roman"/>
          <w:szCs w:val="20"/>
          <w:lang w:eastAsia="fr-FR"/>
          <w14:ligatures w14:val="none"/>
        </w:rPr>
        <w:t xml:space="preserve"> </w:t>
      </w:r>
      <w:r w:rsidR="008A3F5D" w:rsidRPr="008A3F5D">
        <w:t>sur l'adéquation de cette durée au projet industriel proposé par l'exploitant</w:t>
      </w:r>
      <w:r w:rsidR="008A3F5D">
        <w:t> </w:t>
      </w:r>
      <w:r>
        <w:t>»</w:t>
      </w:r>
      <w:r w:rsidRPr="00B15ECB">
        <w:rPr>
          <w:vertAlign w:val="superscript"/>
        </w:rPr>
        <w:footnoteReference w:id="3"/>
      </w:r>
      <w:r>
        <w:t xml:space="preserve">  ; </w:t>
      </w:r>
    </w:p>
    <w:p w14:paraId="5B631320" w14:textId="56FCEA9D" w:rsidR="00DF2CB8" w:rsidRDefault="00DF2CB8">
      <w:pPr>
        <w:pStyle w:val="Paragraphenumrot"/>
      </w:pPr>
      <w:r>
        <w:t xml:space="preserve">enfin, le CRE fait l’objet d’une procédure de « revoyure » quatre ans après le début du contrat en application </w:t>
      </w:r>
      <w:r w:rsidR="00124DDC">
        <w:t>de l’alinéa 5</w:t>
      </w:r>
      <w:r>
        <w:t xml:space="preserve"> de l’article L. 6325-2 du code des transports. </w:t>
      </w:r>
    </w:p>
    <w:p w14:paraId="02E1874C" w14:textId="79494313" w:rsidR="00DF2CB8" w:rsidRDefault="00DF2CB8" w:rsidP="00311266">
      <w:pPr>
        <w:keepNext/>
        <w:keepLines/>
      </w:pPr>
      <w:r>
        <w:lastRenderedPageBreak/>
        <w:t xml:space="preserve">Cette procédure de revoyure se décompose en trois étapes : </w:t>
      </w:r>
    </w:p>
    <w:p w14:paraId="667448AF" w14:textId="7B807D57" w:rsidR="00DF2CB8" w:rsidRDefault="006D4BEE" w:rsidP="00311266">
      <w:pPr>
        <w:keepNext/>
        <w:keepLines/>
      </w:pPr>
      <w:r>
        <w:rPr>
          <w:noProof/>
        </w:rPr>
        <w:drawing>
          <wp:inline distT="0" distB="0" distL="0" distR="0" wp14:anchorId="6A01066C" wp14:editId="516DC738">
            <wp:extent cx="5888990" cy="2194560"/>
            <wp:effectExtent l="0" t="0" r="0" b="0"/>
            <wp:docPr id="99980069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88990" cy="2194560"/>
                    </a:xfrm>
                    <a:prstGeom prst="rect">
                      <a:avLst/>
                    </a:prstGeom>
                    <a:noFill/>
                  </pic:spPr>
                </pic:pic>
              </a:graphicData>
            </a:graphic>
          </wp:inline>
        </w:drawing>
      </w:r>
      <w:r w:rsidR="00DF2CB8">
        <w:t xml:space="preserve">La procédure de revoyure a été instaurée par le législateur comme une contrepartie à l’extension de la durée des CRE afin de garantir qu’un contrat qui se révélerait déséquilibré </w:t>
      </w:r>
      <w:r w:rsidR="009926BF">
        <w:t>au profit de l’exploitant d’aéroport</w:t>
      </w:r>
      <w:r w:rsidR="000E43F2">
        <w:t>,</w:t>
      </w:r>
      <w:r w:rsidR="009926BF">
        <w:t xml:space="preserve"> </w:t>
      </w:r>
      <w:r w:rsidR="00DF2CB8">
        <w:t>ne se poursuive pas au-delà de la durée de principe de cinq ans :</w:t>
      </w:r>
    </w:p>
    <w:p w14:paraId="16155711" w14:textId="561871DA" w:rsidR="00DF2CB8" w:rsidRDefault="00DF2CB8" w:rsidP="00DF2CB8">
      <w:r>
        <w:t xml:space="preserve">« </w:t>
      </w:r>
      <w:r w:rsidRPr="00E357AD">
        <w:rPr>
          <w:i/>
          <w:iCs/>
        </w:rPr>
        <w:t>[p]</w:t>
      </w:r>
      <w:proofErr w:type="spellStart"/>
      <w:r w:rsidRPr="00E357AD">
        <w:rPr>
          <w:i/>
          <w:iCs/>
        </w:rPr>
        <w:t>our</w:t>
      </w:r>
      <w:proofErr w:type="spellEnd"/>
      <w:r w:rsidRPr="00E357AD">
        <w:rPr>
          <w:i/>
          <w:iCs/>
        </w:rPr>
        <w:t xml:space="preserve"> la commission, </w:t>
      </w:r>
      <w:r w:rsidRPr="00E357AD">
        <w:rPr>
          <w:i/>
          <w:iCs/>
          <w:u w:val="single"/>
        </w:rPr>
        <w:t>il est indispensable qu'un tel allongement de la durée du CRE n'aboutisse pas à créer une rente financière en faveur de l'aéroport au détriment de ses usagers.</w:t>
      </w:r>
      <w:r w:rsidRPr="00E357AD">
        <w:rPr>
          <w:i/>
          <w:iCs/>
        </w:rPr>
        <w:t xml:space="preserve"> C'est pourquoi l'éventuel allongement de la durée d'un CRE au-delà de cinq ans serait strictement encadré par l'ART. Il lui reviendrait d'autoriser, avant la procédure de négociation du CRE, son extension au-delà de cinq ans et jusqu'à dix ans. Les usagers de l'aéroport seraient également consultés. Ensuite, comme pour tout CRE, sa mise en œuvre serait soumise à un avis conforme de l'ART. / Une clause de revoyure serait prévue : au bout de quatre ans, les usagers et l'ART seraient de nouveau consultés. En cas de modification substantielle par rapport aux éléments prévisionnels du contrat ou du projet industriel, l'État et l'exploitant d'aérodrome procéderaient à la révision ou l'arrêt anticipé du contrat. L'ART rendrait un avis conforme sur cette révision / </w:t>
      </w:r>
      <w:r w:rsidRPr="00E357AD">
        <w:rPr>
          <w:i/>
          <w:iCs/>
          <w:u w:val="single"/>
        </w:rPr>
        <w:t>La commission a sous-amendé (COM-120) cette proposition afin de préciser que la poursuite de l'exécution du CRE serait subordonnée à un avis conforme de l'ART. Un tel garde-fou a pour but d'éviter tout risque de rémunération excessive de l'exploitant de l'aéroport</w:t>
      </w:r>
      <w:r>
        <w:t xml:space="preserve"> » (soulignements ajoutés)</w:t>
      </w:r>
      <w:r w:rsidR="00E357AD">
        <w:rPr>
          <w:rStyle w:val="Appelnotedebasdep"/>
        </w:rPr>
        <w:footnoteReference w:id="4"/>
      </w:r>
      <w:r>
        <w:t>.</w:t>
      </w:r>
    </w:p>
    <w:p w14:paraId="40FF5828" w14:textId="5E3E5C99" w:rsidR="00A0032B" w:rsidRDefault="00A0032B" w:rsidP="00DF2CB8">
      <w:r>
        <w:t xml:space="preserve">La revoyure est un mécanisme permettant de concilier des CRE </w:t>
      </w:r>
      <w:r w:rsidR="004041D3">
        <w:t xml:space="preserve">de </w:t>
      </w:r>
      <w:r>
        <w:t>long</w:t>
      </w:r>
      <w:r w:rsidR="004041D3">
        <w:t>ue durée – et la visibilité qu’ils apportent pour l’ensemble des parties prenantes –</w:t>
      </w:r>
      <w:r>
        <w:t xml:space="preserve"> avec le respect des principes de la régulation. </w:t>
      </w:r>
      <w:r w:rsidR="006905B5">
        <w:t xml:space="preserve">Elle </w:t>
      </w:r>
      <w:r w:rsidR="00A36668">
        <w:t xml:space="preserve">vise ainsi à </w:t>
      </w:r>
      <w:r w:rsidR="006905B5">
        <w:t>garanti</w:t>
      </w:r>
      <w:r w:rsidR="00A36668">
        <w:t>r</w:t>
      </w:r>
      <w:r w:rsidR="006905B5">
        <w:t xml:space="preserve"> le maintien de l’équilibre économique du contrat sur</w:t>
      </w:r>
      <w:r w:rsidR="004041D3">
        <w:t xml:space="preserve"> toute la durée du contrat</w:t>
      </w:r>
      <w:r w:rsidR="006905B5">
        <w:t xml:space="preserve"> sans avoir à supporter la lourdeur procédurale liée à la passation d’un nouveau CRE à mi-parcours. </w:t>
      </w:r>
    </w:p>
    <w:p w14:paraId="4BB9D375" w14:textId="37FEB1FF" w:rsidR="00DF2CB8" w:rsidRDefault="00DF2CB8" w:rsidP="00DF2CB8">
      <w:r>
        <w:t>Le législateur n’</w:t>
      </w:r>
      <w:r w:rsidR="00A2433C">
        <w:t>a</w:t>
      </w:r>
      <w:r>
        <w:t xml:space="preserve"> pas précisé les éléments contrôlés par l’Autorité lorsqu’elle se prononce</w:t>
      </w:r>
      <w:r w:rsidR="0044358F">
        <w:t>,</w:t>
      </w:r>
      <w:r>
        <w:t xml:space="preserve"> par avis conforme</w:t>
      </w:r>
      <w:r w:rsidR="0044358F">
        <w:t>,</w:t>
      </w:r>
      <w:r>
        <w:t xml:space="preserve"> sur la poursuite du contrat. Dans un souci de prévisibilité et de transparence, l’Autorité entend préciser</w:t>
      </w:r>
      <w:r w:rsidR="0044358F">
        <w:t>,</w:t>
      </w:r>
      <w:r>
        <w:t xml:space="preserve"> dans des lignes directrices</w:t>
      </w:r>
      <w:r w:rsidR="0044358F">
        <w:t>,</w:t>
      </w:r>
      <w:r>
        <w:t xml:space="preserve"> les conditions dans lesquelles elle exercera la mission qui lui a été confiée par le législateur, ainsi qu’elle s’y était engagée dans son avis n° 2026-030 du 9 avril 2026 relatif à l’avant-projet de contrat de régulation économique entre l’État et la société Aéroports de Paris</w:t>
      </w:r>
      <w:r w:rsidR="00E357AD">
        <w:rPr>
          <w:rStyle w:val="Appelnotedebasdep"/>
        </w:rPr>
        <w:footnoteReference w:id="5"/>
      </w:r>
      <w:r>
        <w:t xml:space="preserve">. </w:t>
      </w:r>
    </w:p>
    <w:p w14:paraId="0D6D2D48" w14:textId="6C0623AC" w:rsidR="00977D39" w:rsidRPr="00E357AD" w:rsidRDefault="00DF2CB8" w:rsidP="00E357AD">
      <w:r>
        <w:lastRenderedPageBreak/>
        <w:t>Conformément à ses valeurs de dialogue</w:t>
      </w:r>
      <w:r w:rsidDel="00B71495">
        <w:t xml:space="preserve"> et de transparence</w:t>
      </w:r>
      <w:r>
        <w:t xml:space="preserve">, l’Autorité soumet </w:t>
      </w:r>
      <w:r w:rsidR="00DD5E5D" w:rsidRPr="005D6AD7">
        <w:t xml:space="preserve">ses </w:t>
      </w:r>
      <w:r w:rsidR="006530F6" w:rsidRPr="006530F6">
        <w:t xml:space="preserve">orientations en vue de la rédaction de ses lignes directrices </w:t>
      </w:r>
      <w:r>
        <w:t xml:space="preserve">ci-dessous à la consultation publique afin que toute personne intéressée puisse lui faire part de ses </w:t>
      </w:r>
      <w:r w:rsidR="006530F6">
        <w:t xml:space="preserve">observations </w:t>
      </w:r>
      <w:r>
        <w:t xml:space="preserve">au plus </w:t>
      </w:r>
      <w:r w:rsidRPr="00241B34">
        <w:t xml:space="preserve">tard le </w:t>
      </w:r>
      <w:r w:rsidR="008C7B59" w:rsidRPr="00E84DF8">
        <w:t>30</w:t>
      </w:r>
      <w:r w:rsidR="008C7B59" w:rsidRPr="00241B34">
        <w:t xml:space="preserve"> </w:t>
      </w:r>
      <w:r w:rsidRPr="00241B34">
        <w:t>juillet 20</w:t>
      </w:r>
      <w:r>
        <w:t>26.</w:t>
      </w:r>
    </w:p>
    <w:p w14:paraId="02CEEFB4" w14:textId="072E11CA" w:rsidR="009A1B96" w:rsidRPr="004846B9" w:rsidRDefault="009A1B96" w:rsidP="009A1B96">
      <w:pPr>
        <w:pStyle w:val="Titre1"/>
      </w:pPr>
      <w:bookmarkStart w:id="1" w:name="_Toc233976884"/>
      <w:r w:rsidRPr="004846B9">
        <w:t>Proposition de doctrine de l’Autorité</w:t>
      </w:r>
      <w:bookmarkEnd w:id="1"/>
    </w:p>
    <w:p w14:paraId="2D04441D" w14:textId="150F2846" w:rsidR="00475FC3" w:rsidRPr="004846B9" w:rsidRDefault="00475FC3" w:rsidP="004846B9">
      <w:pPr>
        <w:pBdr>
          <w:top w:val="single" w:sz="4" w:space="1" w:color="auto"/>
          <w:left w:val="single" w:sz="4" w:space="4" w:color="auto"/>
          <w:bottom w:val="single" w:sz="4" w:space="1" w:color="auto"/>
          <w:right w:val="single" w:sz="4" w:space="4" w:color="auto"/>
        </w:pBdr>
        <w:rPr>
          <w:b/>
          <w:bCs/>
          <w:i/>
          <w:iCs/>
        </w:rPr>
      </w:pPr>
      <w:r w:rsidRPr="004846B9">
        <w:rPr>
          <w:b/>
          <w:bCs/>
          <w:i/>
          <w:iCs/>
        </w:rPr>
        <w:t>Les orientations présentées ci-après constituent des propositions soumises à la consultation publique. Elles ne préjugent pas de la position que l'Autorité arrêtera dans ses lignes directrices au vu de l'ensemble des contributions reçues. L'emploi de l'indicatif dans la suite du document vise uniquement à faciliter la lecture des orientations proposées.</w:t>
      </w:r>
    </w:p>
    <w:p w14:paraId="0906AD04" w14:textId="7B8B608F" w:rsidR="00EE0A19" w:rsidRDefault="00EE0A19" w:rsidP="00EE0A19">
      <w:r w:rsidRPr="004846B9">
        <w:t xml:space="preserve">La procédure de revoyure </w:t>
      </w:r>
      <w:r w:rsidR="00D56234" w:rsidRPr="004846B9">
        <w:t>instaurée par le législateur</w:t>
      </w:r>
      <w:r w:rsidRPr="004846B9">
        <w:t xml:space="preserve"> ne constitue ni une renégociation générale du </w:t>
      </w:r>
      <w:r w:rsidR="004041D3" w:rsidRPr="004846B9">
        <w:t>CRE</w:t>
      </w:r>
      <w:r w:rsidRPr="004846B9">
        <w:t>, ni un simple contrôle formel. Elle vise à vérifier que les hypothèses ayant justifié la dérogation</w:t>
      </w:r>
      <w:r w:rsidRPr="00EE0A19">
        <w:t xml:space="preserve"> à la durée maximale de cinq ans demeurent réunies et que l'équilibre économique initial n'a pas été substantiellement modifié au détriment des usagers</w:t>
      </w:r>
      <w:r w:rsidR="0062292C">
        <w:t xml:space="preserve">, sans remise en cause </w:t>
      </w:r>
      <w:r w:rsidR="00A36668" w:rsidRPr="00A36668">
        <w:t>rétroactive des effets déjà produits par le contrat</w:t>
      </w:r>
      <w:r w:rsidRPr="00EE0A19">
        <w:t>.</w:t>
      </w:r>
    </w:p>
    <w:p w14:paraId="6BDE43FD" w14:textId="2472D527" w:rsidR="00AA5C24" w:rsidRDefault="00AA5C24" w:rsidP="00AA5C24">
      <w:pPr>
        <w:pStyle w:val="Titre2"/>
      </w:pPr>
      <w:bookmarkStart w:id="2" w:name="_Toc233976885"/>
      <w:r w:rsidRPr="00AB19AC">
        <w:t xml:space="preserve">Objet de l'avis conforme </w:t>
      </w:r>
      <w:r>
        <w:t xml:space="preserve">de l’Autorité </w:t>
      </w:r>
      <w:r w:rsidRPr="00AB19AC">
        <w:t>sollicité par l'exploitant</w:t>
      </w:r>
      <w:bookmarkEnd w:id="2"/>
      <w:r w:rsidRPr="00AB19AC">
        <w:t xml:space="preserve"> </w:t>
      </w:r>
    </w:p>
    <w:p w14:paraId="22B8379C" w14:textId="77777777" w:rsidR="00B82441" w:rsidRDefault="0019772E" w:rsidP="0019772E">
      <w:r>
        <w:t>L’alinéa 5 de l’article L. 6325-2 du code des transports, dispose qu</w:t>
      </w:r>
      <w:r w:rsidR="005923AA">
        <w:t>’</w:t>
      </w:r>
      <w:r>
        <w:t xml:space="preserve"> « </w:t>
      </w:r>
      <w:r w:rsidRPr="0019772E">
        <w:rPr>
          <w:i/>
          <w:iCs/>
        </w:rPr>
        <w:t>un avis conforme de l’Autorité de régulation des transports, lorsqu’elle est compétente, est sollicité par l’exploitant sur la poursuite de l’exécution du contrat à la suite de cette consultation. En cas de modification substantielle par rapport aux éléments prévisionnels du contrat ou du projet industriel et au vu des avis émis par les usagers et par l’Autorité de régulation des transports, l’Etat et l’exploitant de l’aérodrome procèdent à la révision ou à la résiliation anticipée du contrat</w:t>
      </w:r>
      <w:r>
        <w:t xml:space="preserve"> ».</w:t>
      </w:r>
    </w:p>
    <w:p w14:paraId="5B92513F" w14:textId="3C389BAB" w:rsidR="00AA5C24" w:rsidRPr="00977D39" w:rsidRDefault="0019772E" w:rsidP="0019772E">
      <w:r>
        <w:t xml:space="preserve">Il en résulte que la révision ou la résiliation du CRE est la conséquence d’une « </w:t>
      </w:r>
      <w:r w:rsidRPr="0019772E">
        <w:rPr>
          <w:i/>
          <w:iCs/>
        </w:rPr>
        <w:t>une modification substantielle par rapport aux éléments prévisionnels du contrat ou du projet industriel</w:t>
      </w:r>
      <w:r>
        <w:t xml:space="preserve"> ». L’Autorité devra donc vérifier, au stade de son avis conforme sur la poursuite de l’exécution du contrat</w:t>
      </w:r>
      <w:r w:rsidR="00A512F4">
        <w:t>,</w:t>
      </w:r>
      <w:r>
        <w:t xml:space="preserve"> si une telle modification est intervenue, justifiant que le CRE ne se poursuive pas en l’état et qu’il soit, au choix des parties, révisé ou résilié. </w:t>
      </w:r>
    </w:p>
    <w:p w14:paraId="63D736D4" w14:textId="3258734A" w:rsidR="00D2434F" w:rsidRPr="00AB19AC" w:rsidRDefault="00D2434F" w:rsidP="00D2434F">
      <w:pPr>
        <w:pStyle w:val="Titre3"/>
      </w:pPr>
      <w:bookmarkStart w:id="3" w:name="_Toc233976886"/>
      <w:r>
        <w:t>Sur la notion de modification substantielle</w:t>
      </w:r>
      <w:bookmarkEnd w:id="3"/>
    </w:p>
    <w:p w14:paraId="1161976F" w14:textId="19E1D190" w:rsidR="00351A5B" w:rsidRDefault="00351A5B" w:rsidP="00351A5B">
      <w:r>
        <w:t xml:space="preserve">La notion de « </w:t>
      </w:r>
      <w:r w:rsidRPr="00351A5B">
        <w:rPr>
          <w:i/>
          <w:iCs/>
        </w:rPr>
        <w:t>modification substantielle</w:t>
      </w:r>
      <w:r>
        <w:t xml:space="preserve"> » n’est pas définie par l’article L. 6325-2 du code des transports, ni précisée dans les travaux parlementaires de la loi n° 2025-391 du 30 avril 2025</w:t>
      </w:r>
      <w:r w:rsidR="007813BA">
        <w:t>, ce qui traduit la volonté du législateur de laisser au régulateur la souplesse nécessaire à l’exercice efficace de sa mission</w:t>
      </w:r>
      <w:r w:rsidR="007813BA">
        <w:rPr>
          <w:rStyle w:val="Appelnotedebasdep"/>
        </w:rPr>
        <w:footnoteReference w:id="6"/>
      </w:r>
      <w:r>
        <w:t xml:space="preserve">. </w:t>
      </w:r>
    </w:p>
    <w:p w14:paraId="67FB390A" w14:textId="6866CC72" w:rsidR="00351A5B" w:rsidRDefault="00351A5B" w:rsidP="004846B9">
      <w:pPr>
        <w:keepNext/>
      </w:pPr>
      <w:r>
        <w:t xml:space="preserve">Il revient </w:t>
      </w:r>
      <w:r>
        <w:t>donc à l’Autorité</w:t>
      </w:r>
      <w:r w:rsidR="007813BA">
        <w:rPr>
          <w:rStyle w:val="Appelnotedebasdep"/>
        </w:rPr>
        <w:footnoteReference w:id="7"/>
      </w:r>
      <w:r>
        <w:t xml:space="preserve"> de préciser comment elle appréciera le caractère substantiel d’une modification en tenant compte : </w:t>
      </w:r>
    </w:p>
    <w:p w14:paraId="2BC82BEC" w14:textId="29F5449E" w:rsidR="00351A5B" w:rsidRDefault="00351A5B" w:rsidP="00E84DF8">
      <w:pPr>
        <w:pStyle w:val="Paragraphenumrot"/>
      </w:pPr>
      <w:r>
        <w:t>des définitions de la notion de « modification substantielle » retenues dans d’autres régimes juridiques (commande publique, autorisations administratives, etc.) ;</w:t>
      </w:r>
    </w:p>
    <w:p w14:paraId="3949B6CE" w14:textId="67781C5B" w:rsidR="00351A5B" w:rsidRPr="00E84DF8" w:rsidRDefault="00351A5B" w:rsidP="00E84DF8">
      <w:pPr>
        <w:pStyle w:val="Paragraphenumrot"/>
        <w:ind w:left="714" w:hanging="357"/>
      </w:pPr>
      <w:r w:rsidRPr="00283F87">
        <w:lastRenderedPageBreak/>
        <w:t>de l’objectif de la régulation incitative des CRE</w:t>
      </w:r>
      <w:r w:rsidR="00447789" w:rsidRPr="00283F87">
        <w:t xml:space="preserve">, </w:t>
      </w:r>
      <w:r w:rsidR="004E1E71" w:rsidRPr="00283F87">
        <w:t>qui</w:t>
      </w:r>
      <w:r w:rsidR="00D974FD" w:rsidRPr="00283F87">
        <w:t xml:space="preserve"> </w:t>
      </w:r>
      <w:r w:rsidR="00E84DF8" w:rsidRPr="00283F87">
        <w:t>ne doit</w:t>
      </w:r>
      <w:r w:rsidR="00D974FD" w:rsidRPr="00283F87">
        <w:t xml:space="preserve"> pas conduire</w:t>
      </w:r>
      <w:r w:rsidR="004E1E71" w:rsidRPr="00283F87">
        <w:t xml:space="preserve"> </w:t>
      </w:r>
      <w:r w:rsidR="00AF633C" w:rsidRPr="00283F87">
        <w:t xml:space="preserve">l’exploitant </w:t>
      </w:r>
      <w:r w:rsidR="00D974FD" w:rsidRPr="00283F87">
        <w:t>à perdre le bénéfice de</w:t>
      </w:r>
      <w:r w:rsidR="00AF633C" w:rsidRPr="00283F87">
        <w:t xml:space="preserve"> </w:t>
      </w:r>
      <w:r w:rsidR="0062292C" w:rsidRPr="00283F87">
        <w:t>l’ensemble de</w:t>
      </w:r>
      <w:r w:rsidR="00AF633C" w:rsidRPr="00283F87">
        <w:t>s gains de productivité</w:t>
      </w:r>
      <w:r w:rsidR="0062292C" w:rsidRPr="00283F87">
        <w:t xml:space="preserve"> réalisés</w:t>
      </w:r>
      <w:r w:rsidR="002B127D" w:rsidRPr="00283F87">
        <w:t xml:space="preserve"> pendant la période antérieure à la </w:t>
      </w:r>
      <w:r w:rsidR="00342225" w:rsidRPr="00283F87">
        <w:t>« </w:t>
      </w:r>
      <w:r w:rsidR="002B127D" w:rsidRPr="00283F87">
        <w:t>revoyure</w:t>
      </w:r>
      <w:r w:rsidR="00342225" w:rsidRPr="00283F87">
        <w:t> »,</w:t>
      </w:r>
      <w:r w:rsidRPr="00283F87">
        <w:t> </w:t>
      </w:r>
      <w:r w:rsidR="00A512F4" w:rsidRPr="00283F87">
        <w:t xml:space="preserve">résultant d’une gestion efficace de l’infrastructure </w:t>
      </w:r>
    </w:p>
    <w:p w14:paraId="5BF6CDE8" w14:textId="1FF447F8" w:rsidR="00351A5B" w:rsidRDefault="00351A5B">
      <w:pPr>
        <w:pStyle w:val="Paragraphenumrot"/>
      </w:pPr>
      <w:r>
        <w:t>de l’objectif poursuivi par le législateur</w:t>
      </w:r>
      <w:r w:rsidR="00A512F4">
        <w:t>,</w:t>
      </w:r>
      <w:r>
        <w:t xml:space="preserve"> en instaurant la procédure de « revoyure » consistant à éviter qu’un contrat qui s’avérerait déséquilibré ne se poursuive au-delà de cinq ans en octroyant une sur-rémunération à l’exploitant au détriment des usagers. </w:t>
      </w:r>
    </w:p>
    <w:p w14:paraId="72AE28C8" w14:textId="7F627E4F" w:rsidR="006B7B96" w:rsidRDefault="00D26B6D" w:rsidP="00C47D16">
      <w:r>
        <w:t>En première analyse, i</w:t>
      </w:r>
      <w:r w:rsidR="006B7B96">
        <w:t xml:space="preserve">l ne semble pas pertinent de </w:t>
      </w:r>
      <w:r>
        <w:t>retenir</w:t>
      </w:r>
      <w:r w:rsidR="006B7B96">
        <w:t xml:space="preserve"> une définition normative et chiffrée d’une modification « substantielle », un tel raisonnement mécanique ne permettant </w:t>
      </w:r>
      <w:r w:rsidR="006B7B96">
        <w:t xml:space="preserve">pas de prendre en considération la situation spécifique de chaque aéroport. </w:t>
      </w:r>
    </w:p>
    <w:p w14:paraId="6D056E7F" w14:textId="68FC09CB" w:rsidR="00351A5B" w:rsidRDefault="00351A5B" w:rsidP="005D6AD7">
      <w:r>
        <w:t xml:space="preserve">Dans ces conditions, il est proposé de considérer qu’est « substantielle » une modification des éléments prévisionnels du contrat ou du projet industriel (ou plusieurs modifications appréciées au global) ayant une incidence </w:t>
      </w:r>
      <w:r w:rsidR="00C47D16">
        <w:t xml:space="preserve">significative </w:t>
      </w:r>
      <w:r>
        <w:t>sur les conditions sur lesquelles l’Autorité s’est prononcée dans son avis conforme initial (juste rémunération, couverture des coûts</w:t>
      </w:r>
      <w:r w:rsidR="00FC22A9">
        <w:t>,</w:t>
      </w:r>
      <w:r>
        <w:t xml:space="preserve"> modération tarifaire</w:t>
      </w:r>
      <w:r w:rsidR="00FC22A9">
        <w:t xml:space="preserve"> et adéquation de la durée du contrat au projet industriel</w:t>
      </w:r>
      <w:r>
        <w:t>) en application du II de l’article L. 6327-3 du code des transports</w:t>
      </w:r>
      <w:r w:rsidR="00C47D16">
        <w:t>.</w:t>
      </w:r>
    </w:p>
    <w:p w14:paraId="78A5822C" w14:textId="4D4E34DF" w:rsidR="00E0272F" w:rsidRPr="00BD10C0" w:rsidRDefault="00351A5B" w:rsidP="004D13A9">
      <w:pPr>
        <w:rPr>
          <w:b/>
          <w:bCs/>
        </w:rPr>
      </w:pPr>
      <w:r w:rsidRPr="00BD10C0">
        <w:rPr>
          <w:b/>
          <w:bCs/>
        </w:rPr>
        <w:t>Question </w:t>
      </w:r>
      <w:r w:rsidR="00E301B2" w:rsidRPr="00BD10C0">
        <w:rPr>
          <w:b/>
          <w:bCs/>
        </w:rPr>
        <w:t xml:space="preserve">n°1 : </w:t>
      </w:r>
      <w:r w:rsidR="00342225" w:rsidRPr="00BD10C0">
        <w:rPr>
          <w:b/>
          <w:bCs/>
        </w:rPr>
        <w:t>p</w:t>
      </w:r>
      <w:r w:rsidR="00E0272F" w:rsidRPr="00BD10C0">
        <w:rPr>
          <w:b/>
          <w:bCs/>
        </w:rPr>
        <w:t>artagez</w:t>
      </w:r>
      <w:r w:rsidR="00AE3230" w:rsidRPr="00BD10C0">
        <w:rPr>
          <w:b/>
          <w:bCs/>
        </w:rPr>
        <w:t>-</w:t>
      </w:r>
      <w:r w:rsidR="00E0272F" w:rsidRPr="00BD10C0">
        <w:rPr>
          <w:b/>
          <w:bCs/>
        </w:rPr>
        <w:t xml:space="preserve">vous l’orientation de l’Autorité consistant à ne pas retenir de définition normative et chiffrée d’une modification substantielle ? </w:t>
      </w:r>
      <w:r w:rsidR="00342225" w:rsidRPr="00BD10C0">
        <w:rPr>
          <w:b/>
          <w:bCs/>
        </w:rPr>
        <w:t>À</w:t>
      </w:r>
      <w:r w:rsidR="00E0272F" w:rsidRPr="00BD10C0">
        <w:rPr>
          <w:b/>
          <w:bCs/>
        </w:rPr>
        <w:t xml:space="preserve"> défaut, quel chiffrage</w:t>
      </w:r>
      <w:r w:rsidR="00D26B6D" w:rsidRPr="00BD10C0">
        <w:rPr>
          <w:b/>
          <w:bCs/>
        </w:rPr>
        <w:t>, selon vous,</w:t>
      </w:r>
      <w:r w:rsidR="00E0272F" w:rsidRPr="00BD10C0">
        <w:rPr>
          <w:b/>
          <w:bCs/>
        </w:rPr>
        <w:t xml:space="preserve"> devrait</w:t>
      </w:r>
      <w:r w:rsidR="00D26B6D" w:rsidRPr="00BD10C0">
        <w:rPr>
          <w:b/>
          <w:bCs/>
        </w:rPr>
        <w:t>-il</w:t>
      </w:r>
      <w:r w:rsidR="00E0272F" w:rsidRPr="00BD10C0">
        <w:rPr>
          <w:b/>
          <w:bCs/>
        </w:rPr>
        <w:t xml:space="preserve"> être retenu pour caractériser une modification « substantielle » ou le caractère « significatif » de l’incidence de la modification sur les éléments sur lesquels elle s’est initialement</w:t>
      </w:r>
      <w:r w:rsidR="00D6271F" w:rsidRPr="00BD10C0">
        <w:rPr>
          <w:b/>
          <w:bCs/>
        </w:rPr>
        <w:t> </w:t>
      </w:r>
      <w:r w:rsidR="00E0272F" w:rsidRPr="00BD10C0">
        <w:rPr>
          <w:b/>
          <w:bCs/>
        </w:rPr>
        <w:t xml:space="preserve">prononcée ? </w:t>
      </w:r>
    </w:p>
    <w:p w14:paraId="502A6FA0" w14:textId="1FE3A455" w:rsidR="00AA5C24" w:rsidRPr="00351A5B" w:rsidRDefault="00E0272F" w:rsidP="004D13A9">
      <w:pPr>
        <w:rPr>
          <w:b/>
          <w:bCs/>
        </w:rPr>
      </w:pPr>
      <w:r w:rsidRPr="00BD10C0">
        <w:rPr>
          <w:b/>
          <w:bCs/>
        </w:rPr>
        <w:t xml:space="preserve">Question </w:t>
      </w:r>
      <w:r w:rsidR="00342225" w:rsidRPr="00BD10C0">
        <w:rPr>
          <w:b/>
          <w:bCs/>
        </w:rPr>
        <w:t>n°</w:t>
      </w:r>
      <w:r w:rsidRPr="00BD10C0">
        <w:rPr>
          <w:b/>
          <w:bCs/>
        </w:rPr>
        <w:t xml:space="preserve">2 : </w:t>
      </w:r>
      <w:r w:rsidR="00E301B2" w:rsidRPr="00BD10C0">
        <w:rPr>
          <w:b/>
          <w:bCs/>
        </w:rPr>
        <w:t>l</w:t>
      </w:r>
      <w:r w:rsidR="00B05A1A" w:rsidRPr="00BD10C0">
        <w:rPr>
          <w:b/>
          <w:bCs/>
        </w:rPr>
        <w:t xml:space="preserve">’interprétation faite de la notion de « modification substantielle » </w:t>
      </w:r>
      <w:r w:rsidR="00351A5B" w:rsidRPr="00BD10C0">
        <w:rPr>
          <w:b/>
          <w:bCs/>
        </w:rPr>
        <w:t>appelle-t-elle d</w:t>
      </w:r>
      <w:r w:rsidR="00810584" w:rsidRPr="00BD10C0">
        <w:rPr>
          <w:b/>
          <w:bCs/>
        </w:rPr>
        <w:t>’autres</w:t>
      </w:r>
      <w:r w:rsidR="00351A5B" w:rsidRPr="00BD10C0">
        <w:rPr>
          <w:b/>
          <w:bCs/>
        </w:rPr>
        <w:t xml:space="preserve"> observations de votre part ?</w:t>
      </w:r>
    </w:p>
    <w:p w14:paraId="036B632D" w14:textId="77777777" w:rsidR="00124DDC" w:rsidRDefault="00124DDC" w:rsidP="00124DDC">
      <w:pPr>
        <w:pStyle w:val="Titre3"/>
      </w:pPr>
      <w:bookmarkStart w:id="4" w:name="_Hlk232086534"/>
      <w:bookmarkStart w:id="5" w:name="_Toc233976887"/>
      <w:r>
        <w:t>Sur les évolutions du projet industriel</w:t>
      </w:r>
      <w:bookmarkEnd w:id="5"/>
      <w:r>
        <w:t xml:space="preserve"> </w:t>
      </w:r>
    </w:p>
    <w:p w14:paraId="3F6ADD02" w14:textId="1FA53EE5" w:rsidR="001B3475" w:rsidRDefault="00124DDC" w:rsidP="00124DDC">
      <w:pPr>
        <w:rPr>
          <w:szCs w:val="21"/>
        </w:rPr>
      </w:pPr>
      <w:r w:rsidRPr="004D13A9">
        <w:rPr>
          <w:szCs w:val="21"/>
        </w:rPr>
        <w:t>Le projet industriel de l’exploitant</w:t>
      </w:r>
      <w:r w:rsidR="0047450B">
        <w:rPr>
          <w:szCs w:val="21"/>
        </w:rPr>
        <w:t xml:space="preserve"> est un élément structurant du contrat de régulation économique</w:t>
      </w:r>
      <w:r w:rsidR="001B3475">
        <w:rPr>
          <w:szCs w:val="21"/>
        </w:rPr>
        <w:t xml:space="preserve"> car il permet d’assurer un niveau de services négocié avec </w:t>
      </w:r>
      <w:r w:rsidR="00A13CF8">
        <w:rPr>
          <w:szCs w:val="21"/>
        </w:rPr>
        <w:t>le ministère chargé de l’aviation civile</w:t>
      </w:r>
      <w:r w:rsidR="001B3475">
        <w:rPr>
          <w:szCs w:val="21"/>
        </w:rPr>
        <w:t xml:space="preserve"> et pour lequel les usagers ont été consultés. En ce sens, il constitue la contrepartie directe des redevances payées par les usagers. </w:t>
      </w:r>
    </w:p>
    <w:p w14:paraId="2B91B6AB" w14:textId="21137BEE" w:rsidR="00124DDC" w:rsidRPr="004D13A9" w:rsidRDefault="001B3475" w:rsidP="00124DDC">
      <w:pPr>
        <w:rPr>
          <w:szCs w:val="21"/>
        </w:rPr>
      </w:pPr>
      <w:r>
        <w:rPr>
          <w:szCs w:val="21"/>
        </w:rPr>
        <w:t xml:space="preserve">Par ailleurs, le projet industriel </w:t>
      </w:r>
      <w:r w:rsidR="00124DDC" w:rsidRPr="004D13A9">
        <w:rPr>
          <w:szCs w:val="21"/>
        </w:rPr>
        <w:t xml:space="preserve">fait l’objet d’une attention particulière de l’Autorité dans son avis conforme initial, puisqu’il est pris en compte : </w:t>
      </w:r>
    </w:p>
    <w:p w14:paraId="101996FD" w14:textId="77777777" w:rsidR="00124DDC" w:rsidRPr="00DD5CD1" w:rsidRDefault="00124DDC" w:rsidP="000724B5">
      <w:pPr>
        <w:pStyle w:val="Paragraphedeliste"/>
        <w:keepLines/>
        <w:numPr>
          <w:ilvl w:val="0"/>
          <w:numId w:val="10"/>
        </w:numPr>
        <w:spacing w:before="120" w:after="120"/>
        <w:ind w:left="714" w:hanging="357"/>
        <w:rPr>
          <w:szCs w:val="21"/>
        </w:rPr>
      </w:pPr>
      <w:r w:rsidRPr="004D13A9">
        <w:rPr>
          <w:szCs w:val="21"/>
        </w:rPr>
        <w:t>dans l’appréciation de la juste rémunération du capital («</w:t>
      </w:r>
      <w:r w:rsidRPr="004D13A9">
        <w:rPr>
          <w:i/>
          <w:iCs/>
          <w:szCs w:val="21"/>
        </w:rPr>
        <w:t> l’autorité vérifie la juste rémunération des capitaux investis au regard du programme d’investissements, des objectifs de qualité de service et des objectifs d’évolution des charges (…) </w:t>
      </w:r>
      <w:r w:rsidRPr="004D13A9">
        <w:rPr>
          <w:szCs w:val="21"/>
        </w:rPr>
        <w:t>»</w:t>
      </w:r>
      <w:r w:rsidRPr="004D13A9">
        <w:rPr>
          <w:rStyle w:val="Appelnotedebasdep"/>
          <w:szCs w:val="21"/>
        </w:rPr>
        <w:footnoteReference w:id="8"/>
      </w:r>
      <w:r w:rsidRPr="00DD5CD1">
        <w:rPr>
          <w:szCs w:val="21"/>
        </w:rPr>
        <w:t>) ;</w:t>
      </w:r>
    </w:p>
    <w:p w14:paraId="40C22BB8" w14:textId="382A79A6" w:rsidR="00124DDC" w:rsidRPr="00DD5CD1" w:rsidRDefault="0047450B" w:rsidP="000724B5">
      <w:pPr>
        <w:pStyle w:val="Paragraphedeliste"/>
        <w:keepLines/>
        <w:numPr>
          <w:ilvl w:val="0"/>
          <w:numId w:val="10"/>
        </w:numPr>
        <w:spacing w:before="120" w:after="120"/>
        <w:ind w:left="714" w:hanging="357"/>
        <w:rPr>
          <w:szCs w:val="21"/>
        </w:rPr>
      </w:pPr>
      <w:r>
        <w:rPr>
          <w:szCs w:val="21"/>
        </w:rPr>
        <w:t>p</w:t>
      </w:r>
      <w:r w:rsidRPr="00DD5CD1">
        <w:rPr>
          <w:szCs w:val="21"/>
        </w:rPr>
        <w:t xml:space="preserve">our </w:t>
      </w:r>
      <w:r w:rsidR="00124DDC" w:rsidRPr="00DD5CD1">
        <w:rPr>
          <w:szCs w:val="21"/>
        </w:rPr>
        <w:t>s’assurer de son adéquation avec la durée du contrat</w:t>
      </w:r>
      <w:r w:rsidR="001672C5">
        <w:rPr>
          <w:szCs w:val="21"/>
        </w:rPr>
        <w:t xml:space="preserve">, l’Autorité étant appelée à rendre un avis conforme sur la durée du CRE lorsque celui-ci excède </w:t>
      </w:r>
      <w:r w:rsidR="00B322AA">
        <w:rPr>
          <w:szCs w:val="21"/>
        </w:rPr>
        <w:t>cinq</w:t>
      </w:r>
      <w:r w:rsidR="001672C5">
        <w:rPr>
          <w:szCs w:val="21"/>
        </w:rPr>
        <w:t xml:space="preserve"> années (« </w:t>
      </w:r>
      <w:r w:rsidR="00343479">
        <w:rPr>
          <w:i/>
          <w:iCs/>
          <w:szCs w:val="21"/>
        </w:rPr>
        <w:t>[l]</w:t>
      </w:r>
      <w:proofErr w:type="spellStart"/>
      <w:r w:rsidR="001672C5" w:rsidRPr="004846B9">
        <w:rPr>
          <w:i/>
          <w:iCs/>
          <w:szCs w:val="21"/>
        </w:rPr>
        <w:t>orsque</w:t>
      </w:r>
      <w:proofErr w:type="spellEnd"/>
      <w:r w:rsidR="001672C5" w:rsidRPr="004846B9">
        <w:rPr>
          <w:i/>
          <w:iCs/>
          <w:szCs w:val="21"/>
        </w:rPr>
        <w:t xml:space="preserve"> l'Autorité de régulation des transports est compétente et que la durée d'un contrat est envisagée pour une durée supérieure à cinq ans en application du 2° de l'article L. 6325-2, l'autorité se prononce par un avis conforme sur l'adéquation de cette durée au projet industriel proposé par l'exploitant</w:t>
      </w:r>
      <w:r w:rsidR="001672C5">
        <w:rPr>
          <w:szCs w:val="21"/>
        </w:rPr>
        <w:t> »</w:t>
      </w:r>
      <w:r w:rsidR="001672C5">
        <w:rPr>
          <w:rStyle w:val="Appelnotedebasdep"/>
          <w:szCs w:val="21"/>
        </w:rPr>
        <w:footnoteReference w:id="9"/>
      </w:r>
      <w:r w:rsidR="001672C5">
        <w:rPr>
          <w:szCs w:val="21"/>
        </w:rPr>
        <w:t>)</w:t>
      </w:r>
      <w:r w:rsidR="00124DDC" w:rsidRPr="00DD5CD1">
        <w:rPr>
          <w:szCs w:val="21"/>
        </w:rPr>
        <w:t xml:space="preserve">. </w:t>
      </w:r>
    </w:p>
    <w:p w14:paraId="424750C5" w14:textId="50899A9D" w:rsidR="00124DDC" w:rsidRPr="00DD5CD1" w:rsidRDefault="00894609" w:rsidP="004846B9">
      <w:pPr>
        <w:keepNext/>
        <w:keepLines/>
        <w:rPr>
          <w:szCs w:val="21"/>
        </w:rPr>
      </w:pPr>
      <w:r>
        <w:rPr>
          <w:szCs w:val="21"/>
        </w:rPr>
        <w:lastRenderedPageBreak/>
        <w:t>Plus précisément, a</w:t>
      </w:r>
      <w:r w:rsidR="00124DDC" w:rsidRPr="00DD5CD1">
        <w:rPr>
          <w:szCs w:val="21"/>
        </w:rPr>
        <w:t>u stade de l’avis conforme sur le projet de CRE, le projet industriel de l’exploitant est apprécié par l’Autorité dans son intégralité afin de vérifier son adéquation avec la durée du contrat. Son</w:t>
      </w:r>
      <w:r w:rsidR="0047450B">
        <w:rPr>
          <w:szCs w:val="21"/>
        </w:rPr>
        <w:t>t</w:t>
      </w:r>
      <w:r w:rsidR="00124DDC" w:rsidRPr="00DD5CD1">
        <w:rPr>
          <w:szCs w:val="21"/>
        </w:rPr>
        <w:t xml:space="preserve"> ainsi pris en considération :  </w:t>
      </w:r>
    </w:p>
    <w:p w14:paraId="44F268D0" w14:textId="49FD538C" w:rsidR="00124DDC" w:rsidRPr="00DD5CD1" w:rsidRDefault="006873DD" w:rsidP="004846B9">
      <w:pPr>
        <w:keepNext/>
        <w:keepLines/>
        <w:numPr>
          <w:ilvl w:val="0"/>
          <w:numId w:val="8"/>
        </w:numPr>
        <w:spacing w:before="120" w:after="120"/>
        <w:rPr>
          <w:szCs w:val="21"/>
        </w:rPr>
      </w:pPr>
      <w:r>
        <w:rPr>
          <w:szCs w:val="21"/>
        </w:rPr>
        <w:t>l</w:t>
      </w:r>
      <w:r w:rsidRPr="00DD5CD1">
        <w:rPr>
          <w:szCs w:val="21"/>
        </w:rPr>
        <w:t xml:space="preserve">es </w:t>
      </w:r>
      <w:r w:rsidR="00124DDC" w:rsidRPr="00DD5CD1">
        <w:rPr>
          <w:szCs w:val="21"/>
        </w:rPr>
        <w:t>montants totaux des investissements</w:t>
      </w:r>
      <w:r w:rsidR="0047450B">
        <w:rPr>
          <w:szCs w:val="21"/>
        </w:rPr>
        <w:t> ;</w:t>
      </w:r>
    </w:p>
    <w:p w14:paraId="22ABC5D6" w14:textId="23DFCDB8" w:rsidR="00124DDC" w:rsidRPr="00DD5CD1" w:rsidRDefault="006873DD" w:rsidP="004846B9">
      <w:pPr>
        <w:keepNext/>
        <w:keepLines/>
        <w:numPr>
          <w:ilvl w:val="0"/>
          <w:numId w:val="8"/>
        </w:numPr>
        <w:spacing w:before="120" w:after="120"/>
        <w:ind w:hanging="357"/>
        <w:rPr>
          <w:szCs w:val="21"/>
        </w:rPr>
      </w:pPr>
      <w:r>
        <w:rPr>
          <w:szCs w:val="21"/>
        </w:rPr>
        <w:t>a</w:t>
      </w:r>
      <w:r w:rsidRPr="00DD5CD1">
        <w:rPr>
          <w:szCs w:val="21"/>
        </w:rPr>
        <w:t>u</w:t>
      </w:r>
      <w:r w:rsidR="00124DDC" w:rsidRPr="00DD5CD1">
        <w:rPr>
          <w:szCs w:val="21"/>
        </w:rPr>
        <w:t xml:space="preserve">-delà des investissements en tant que tels, le « projet » dans son ensemble est également analysé, avec notamment : </w:t>
      </w:r>
    </w:p>
    <w:p w14:paraId="32D16727" w14:textId="5BE3C5FD" w:rsidR="00124DDC" w:rsidRPr="00DD5CD1" w:rsidRDefault="006873DD" w:rsidP="004846B9">
      <w:pPr>
        <w:keepNext/>
        <w:keepLines/>
        <w:numPr>
          <w:ilvl w:val="1"/>
          <w:numId w:val="8"/>
        </w:numPr>
        <w:spacing w:before="120" w:after="120"/>
        <w:ind w:hanging="357"/>
        <w:rPr>
          <w:szCs w:val="21"/>
        </w:rPr>
      </w:pPr>
      <w:r>
        <w:rPr>
          <w:szCs w:val="21"/>
        </w:rPr>
        <w:t>l</w:t>
      </w:r>
      <w:r w:rsidRPr="00DD5CD1">
        <w:rPr>
          <w:szCs w:val="21"/>
        </w:rPr>
        <w:t xml:space="preserve">es </w:t>
      </w:r>
      <w:r w:rsidR="00124DDC" w:rsidRPr="00DD5CD1">
        <w:rPr>
          <w:szCs w:val="21"/>
        </w:rPr>
        <w:t xml:space="preserve">délais de réalisation de chaque phase de chaque chantier (en ce compris les études, les autorisations, et la réalisation) ; </w:t>
      </w:r>
    </w:p>
    <w:p w14:paraId="266F16CA" w14:textId="4C2F52F3" w:rsidR="00124DDC" w:rsidRPr="00DD5CD1" w:rsidRDefault="006873DD" w:rsidP="000724B5">
      <w:pPr>
        <w:keepLines/>
        <w:numPr>
          <w:ilvl w:val="1"/>
          <w:numId w:val="8"/>
        </w:numPr>
        <w:spacing w:before="120" w:after="120"/>
        <w:rPr>
          <w:szCs w:val="21"/>
        </w:rPr>
      </w:pPr>
      <w:r>
        <w:rPr>
          <w:szCs w:val="21"/>
        </w:rPr>
        <w:t>l</w:t>
      </w:r>
      <w:r w:rsidRPr="00DD5CD1">
        <w:rPr>
          <w:szCs w:val="21"/>
        </w:rPr>
        <w:t xml:space="preserve">a </w:t>
      </w:r>
      <w:r w:rsidR="00124DDC" w:rsidRPr="00DD5CD1">
        <w:rPr>
          <w:szCs w:val="21"/>
        </w:rPr>
        <w:t>nature de l’ensemble des phases du projet et leur imbrication permettant de donner une cohérence globale au projet, justifiant ainsi que ces phases soient intégrées au sein d’un même CRE (à titre d’exemple, si un exploitant envisageait la construction de deux terminaux l’un après l’autre, pourrait se poser la question de conclure deux CRE successifs) ;</w:t>
      </w:r>
    </w:p>
    <w:p w14:paraId="0ECA1223" w14:textId="4E8E1E86" w:rsidR="00124DDC" w:rsidRPr="00DD5CD1" w:rsidRDefault="006873DD" w:rsidP="000724B5">
      <w:pPr>
        <w:keepLines/>
        <w:numPr>
          <w:ilvl w:val="1"/>
          <w:numId w:val="8"/>
        </w:numPr>
        <w:spacing w:before="120" w:after="120"/>
        <w:rPr>
          <w:szCs w:val="21"/>
        </w:rPr>
      </w:pPr>
      <w:r>
        <w:rPr>
          <w:szCs w:val="21"/>
        </w:rPr>
        <w:t>l</w:t>
      </w:r>
      <w:r w:rsidRPr="00DD5CD1">
        <w:rPr>
          <w:szCs w:val="21"/>
        </w:rPr>
        <w:t xml:space="preserve">’articulation </w:t>
      </w:r>
      <w:r w:rsidR="00124DDC" w:rsidRPr="00DD5CD1">
        <w:rPr>
          <w:szCs w:val="21"/>
        </w:rPr>
        <w:t xml:space="preserve">entre les différentes phases du CRE et leurs impacts éventuels sur les conditions d’exploitation de l’aérodrome (fermeture de certaines parties de terminaux et transfert de flottes) et des infrastructures imbriquées ne relevant pas de l’aérodrome (gares et routes susceptibles d’être impactées par les travaux). </w:t>
      </w:r>
    </w:p>
    <w:p w14:paraId="79267884" w14:textId="08E77B21" w:rsidR="00124DDC" w:rsidRPr="0059202E" w:rsidRDefault="008C7B59" w:rsidP="00124DDC">
      <w:pPr>
        <w:rPr>
          <w:szCs w:val="21"/>
        </w:rPr>
      </w:pPr>
      <w:bookmarkStart w:id="6" w:name="_Hlk233902830"/>
      <w:r>
        <w:rPr>
          <w:szCs w:val="21"/>
        </w:rPr>
        <w:t xml:space="preserve">L’appréciation de </w:t>
      </w:r>
      <w:r w:rsidR="0059202E">
        <w:rPr>
          <w:szCs w:val="21"/>
        </w:rPr>
        <w:t>la pertinence du projet industriel</w:t>
      </w:r>
      <w:r w:rsidR="0077195D" w:rsidRPr="0077195D">
        <w:rPr>
          <w:szCs w:val="21"/>
        </w:rPr>
        <w:t xml:space="preserve"> </w:t>
      </w:r>
      <w:r w:rsidR="00452BA4">
        <w:rPr>
          <w:szCs w:val="21"/>
        </w:rPr>
        <w:t>appartient au seul</w:t>
      </w:r>
      <w:r w:rsidR="0059202E" w:rsidRPr="0059202E">
        <w:rPr>
          <w:szCs w:val="21"/>
        </w:rPr>
        <w:t xml:space="preserve"> exploitant et </w:t>
      </w:r>
      <w:r w:rsidR="00452BA4">
        <w:rPr>
          <w:szCs w:val="21"/>
        </w:rPr>
        <w:t>a</w:t>
      </w:r>
      <w:r w:rsidR="00A13CF8">
        <w:rPr>
          <w:szCs w:val="21"/>
        </w:rPr>
        <w:t>u ministre chargé de l’aviation civile</w:t>
      </w:r>
      <w:r>
        <w:rPr>
          <w:szCs w:val="21"/>
        </w:rPr>
        <w:t xml:space="preserve">. L’Autorité n’a donc pas vocation à se prononcer sur ces éléments. </w:t>
      </w:r>
      <w:r w:rsidR="004276A4">
        <w:rPr>
          <w:szCs w:val="21"/>
        </w:rPr>
        <w:t xml:space="preserve">C’est en revanche au regard de leurs incidences sur l’équilibre économique du contrat </w:t>
      </w:r>
      <w:r w:rsidR="00CC3F7F">
        <w:rPr>
          <w:szCs w:val="21"/>
        </w:rPr>
        <w:t xml:space="preserve">ou la consistance du projet tel que présenté aux usagers </w:t>
      </w:r>
      <w:r w:rsidR="004276A4">
        <w:rPr>
          <w:szCs w:val="21"/>
        </w:rPr>
        <w:t xml:space="preserve">qu’elle examinera les évolutions du projet industriel au stade de la revoyure. Ce réexamen portera </w:t>
      </w:r>
      <w:r w:rsidR="00F80F5C">
        <w:rPr>
          <w:szCs w:val="21"/>
        </w:rPr>
        <w:t xml:space="preserve">notamment </w:t>
      </w:r>
      <w:r w:rsidR="004276A4">
        <w:rPr>
          <w:szCs w:val="21"/>
        </w:rPr>
        <w:t>sur</w:t>
      </w:r>
      <w:r w:rsidR="0059202E" w:rsidRPr="0059202E">
        <w:rPr>
          <w:szCs w:val="21"/>
        </w:rPr>
        <w:t xml:space="preserve"> </w:t>
      </w:r>
      <w:r w:rsidR="0059202E">
        <w:rPr>
          <w:szCs w:val="21"/>
        </w:rPr>
        <w:t>l</w:t>
      </w:r>
      <w:r w:rsidR="0059202E" w:rsidRPr="004D13A9">
        <w:rPr>
          <w:szCs w:val="21"/>
        </w:rPr>
        <w:t xml:space="preserve">’ensemble </w:t>
      </w:r>
      <w:r w:rsidR="00124DDC" w:rsidRPr="004D13A9">
        <w:rPr>
          <w:szCs w:val="21"/>
        </w:rPr>
        <w:t>de</w:t>
      </w:r>
      <w:r w:rsidR="0059202E">
        <w:rPr>
          <w:szCs w:val="21"/>
        </w:rPr>
        <w:t>s</w:t>
      </w:r>
      <w:r w:rsidR="00124DDC" w:rsidRPr="004D13A9">
        <w:rPr>
          <w:szCs w:val="21"/>
        </w:rPr>
        <w:t xml:space="preserve"> éléments </w:t>
      </w:r>
      <w:r w:rsidR="0059202E">
        <w:rPr>
          <w:szCs w:val="21"/>
        </w:rPr>
        <w:t xml:space="preserve">ci-avant </w:t>
      </w:r>
      <w:r w:rsidR="004276A4">
        <w:rPr>
          <w:szCs w:val="21"/>
        </w:rPr>
        <w:t>mentionnés</w:t>
      </w:r>
      <w:r w:rsidR="0059202E">
        <w:rPr>
          <w:szCs w:val="21"/>
        </w:rPr>
        <w:t xml:space="preserve"> </w:t>
      </w:r>
      <w:r w:rsidR="00124DDC" w:rsidRPr="004D13A9">
        <w:rPr>
          <w:szCs w:val="21"/>
        </w:rPr>
        <w:t>pour analyser l’existence d’une modification substantielle</w:t>
      </w:r>
      <w:r w:rsidR="00B85122">
        <w:rPr>
          <w:szCs w:val="21"/>
        </w:rPr>
        <w:t xml:space="preserve"> ayant une in</w:t>
      </w:r>
      <w:r w:rsidR="00463E66">
        <w:rPr>
          <w:szCs w:val="21"/>
        </w:rPr>
        <w:t>cid</w:t>
      </w:r>
      <w:r w:rsidR="00B85122">
        <w:rPr>
          <w:szCs w:val="21"/>
        </w:rPr>
        <w:t>ence sur la juste rémunération des capitaux investis</w:t>
      </w:r>
      <w:r w:rsidR="00F80F5C">
        <w:rPr>
          <w:szCs w:val="21"/>
        </w:rPr>
        <w:t xml:space="preserve"> ou encore </w:t>
      </w:r>
      <w:r w:rsidR="00B85122">
        <w:rPr>
          <w:szCs w:val="21"/>
        </w:rPr>
        <w:t>la durée du CRE</w:t>
      </w:r>
      <w:r w:rsidR="00CD65DE">
        <w:rPr>
          <w:szCs w:val="21"/>
        </w:rPr>
        <w:t xml:space="preserve"> (l’Autorité s’étant prononcée, dans son avis conforme sur le projet de CRE, sur l’adéquation de cette durée dérogatoire avec les </w:t>
      </w:r>
      <w:r w:rsidR="0077195D">
        <w:rPr>
          <w:szCs w:val="21"/>
        </w:rPr>
        <w:t>spécificité</w:t>
      </w:r>
      <w:r w:rsidR="00CD65DE">
        <w:rPr>
          <w:szCs w:val="21"/>
        </w:rPr>
        <w:t>s</w:t>
      </w:r>
      <w:r w:rsidR="0077195D">
        <w:rPr>
          <w:szCs w:val="21"/>
        </w:rPr>
        <w:t xml:space="preserve"> du projet industriel</w:t>
      </w:r>
      <w:r w:rsidR="00F2786D">
        <w:rPr>
          <w:szCs w:val="21"/>
        </w:rPr>
        <w:t xml:space="preserve"> après consultation des usagers</w:t>
      </w:r>
      <w:r w:rsidR="00CD65DE">
        <w:rPr>
          <w:szCs w:val="21"/>
        </w:rPr>
        <w:t>)</w:t>
      </w:r>
      <w:r w:rsidR="00124DDC" w:rsidRPr="0059202E">
        <w:rPr>
          <w:szCs w:val="21"/>
        </w:rPr>
        <w:t xml:space="preserve">. </w:t>
      </w:r>
    </w:p>
    <w:p w14:paraId="64D49A82" w14:textId="54CD8507" w:rsidR="00124DDC" w:rsidRPr="00DC6645" w:rsidRDefault="00E301B2" w:rsidP="00124DDC">
      <w:pPr>
        <w:rPr>
          <w:szCs w:val="21"/>
        </w:rPr>
      </w:pPr>
      <w:r w:rsidRPr="00311266">
        <w:rPr>
          <w:szCs w:val="21"/>
        </w:rPr>
        <w:t>À</w:t>
      </w:r>
      <w:r w:rsidR="00124DDC" w:rsidRPr="00311266">
        <w:rPr>
          <w:szCs w:val="21"/>
        </w:rPr>
        <w:t xml:space="preserve"> titre </w:t>
      </w:r>
      <w:r w:rsidR="0059202E" w:rsidRPr="00311266">
        <w:rPr>
          <w:szCs w:val="21"/>
        </w:rPr>
        <w:t xml:space="preserve">purement </w:t>
      </w:r>
      <w:r w:rsidR="00124DDC" w:rsidRPr="00311266">
        <w:rPr>
          <w:szCs w:val="21"/>
        </w:rPr>
        <w:t xml:space="preserve">illustratif, une modification portant sur la </w:t>
      </w:r>
      <w:r w:rsidR="00F80F5C">
        <w:rPr>
          <w:szCs w:val="21"/>
        </w:rPr>
        <w:t>consistance</w:t>
      </w:r>
      <w:r w:rsidR="00F80F5C" w:rsidRPr="00311266">
        <w:rPr>
          <w:szCs w:val="21"/>
        </w:rPr>
        <w:t xml:space="preserve"> </w:t>
      </w:r>
      <w:r w:rsidR="00124DDC" w:rsidRPr="00311266">
        <w:rPr>
          <w:szCs w:val="21"/>
        </w:rPr>
        <w:t>du projet industriel</w:t>
      </w:r>
      <w:r w:rsidRPr="00311266">
        <w:rPr>
          <w:szCs w:val="21"/>
        </w:rPr>
        <w:t xml:space="preserve"> et </w:t>
      </w:r>
      <w:r w:rsidR="00785B33" w:rsidRPr="00311266">
        <w:rPr>
          <w:szCs w:val="21"/>
        </w:rPr>
        <w:t>l</w:t>
      </w:r>
      <w:r w:rsidRPr="00311266">
        <w:rPr>
          <w:szCs w:val="21"/>
        </w:rPr>
        <w:t>es niveaux de qualité de service associés</w:t>
      </w:r>
      <w:r w:rsidR="00124DDC" w:rsidRPr="005F0A7A">
        <w:rPr>
          <w:szCs w:val="21"/>
        </w:rPr>
        <w:t xml:space="preserve"> pourrait être considérée comme</w:t>
      </w:r>
      <w:r w:rsidR="0077195D">
        <w:rPr>
          <w:szCs w:val="21"/>
        </w:rPr>
        <w:t xml:space="preserve"> </w:t>
      </w:r>
      <w:r w:rsidR="00F80F5C">
        <w:rPr>
          <w:szCs w:val="21"/>
        </w:rPr>
        <w:t xml:space="preserve">constitutive d’une </w:t>
      </w:r>
      <w:r w:rsidR="00CD158E">
        <w:rPr>
          <w:szCs w:val="21"/>
        </w:rPr>
        <w:t>« </w:t>
      </w:r>
      <w:r w:rsidR="00F80F5C" w:rsidRPr="00BD10C0">
        <w:rPr>
          <w:i/>
          <w:iCs/>
          <w:szCs w:val="21"/>
        </w:rPr>
        <w:t>modification</w:t>
      </w:r>
      <w:r w:rsidR="00124DDC" w:rsidRPr="00BD10C0">
        <w:rPr>
          <w:i/>
          <w:iCs/>
          <w:szCs w:val="21"/>
        </w:rPr>
        <w:t xml:space="preserve"> substantielle</w:t>
      </w:r>
      <w:r w:rsidR="00CD158E">
        <w:rPr>
          <w:szCs w:val="21"/>
        </w:rPr>
        <w:t> »</w:t>
      </w:r>
      <w:r w:rsidR="00124DDC" w:rsidRPr="005F0A7A">
        <w:rPr>
          <w:szCs w:val="21"/>
        </w:rPr>
        <w:t>, même si l'enveloppe</w:t>
      </w:r>
      <w:r w:rsidR="00124DDC" w:rsidRPr="00DC6645">
        <w:rPr>
          <w:szCs w:val="21"/>
        </w:rPr>
        <w:t xml:space="preserve"> financière globale restait inchangée, notamment </w:t>
      </w:r>
      <w:r w:rsidR="00A13CF8">
        <w:rPr>
          <w:szCs w:val="21"/>
        </w:rPr>
        <w:t>en cas</w:t>
      </w:r>
      <w:r w:rsidR="00124DDC" w:rsidRPr="00DC6645">
        <w:rPr>
          <w:szCs w:val="21"/>
        </w:rPr>
        <w:t xml:space="preserve"> : </w:t>
      </w:r>
    </w:p>
    <w:p w14:paraId="663DA58D" w14:textId="1721ED88" w:rsidR="00A13CF8" w:rsidRDefault="00124DDC" w:rsidP="000724B5">
      <w:pPr>
        <w:numPr>
          <w:ilvl w:val="0"/>
          <w:numId w:val="8"/>
        </w:numPr>
        <w:rPr>
          <w:szCs w:val="21"/>
        </w:rPr>
      </w:pPr>
      <w:r w:rsidRPr="00DC6645">
        <w:rPr>
          <w:szCs w:val="21"/>
        </w:rPr>
        <w:t xml:space="preserve">d’abandon d'un projet structurant : le retrait d'un élément majeur du projet industriel </w:t>
      </w:r>
      <w:r w:rsidR="005F0A7A">
        <w:rPr>
          <w:szCs w:val="21"/>
        </w:rPr>
        <w:t>pourrait remettre en cause l’adéquation entre le projet industriel et la durée du contrat</w:t>
      </w:r>
      <w:r w:rsidR="00A13CF8">
        <w:rPr>
          <w:szCs w:val="21"/>
        </w:rPr>
        <w:t> ;</w:t>
      </w:r>
    </w:p>
    <w:p w14:paraId="0651A61B" w14:textId="4B4DDB09" w:rsidR="00124DDC" w:rsidRPr="00DC6645" w:rsidRDefault="00124DDC" w:rsidP="00BD10C0">
      <w:pPr>
        <w:keepLines/>
        <w:numPr>
          <w:ilvl w:val="0"/>
          <w:numId w:val="8"/>
        </w:numPr>
        <w:ind w:left="714" w:hanging="357"/>
        <w:rPr>
          <w:szCs w:val="21"/>
        </w:rPr>
      </w:pPr>
      <w:r w:rsidRPr="00DC6645">
        <w:rPr>
          <w:szCs w:val="21"/>
        </w:rPr>
        <w:t xml:space="preserve">de retard substantiel des projets engagés en début de CRE : lorsque les spécificités du projet industriel sont caractérisées par un ensemble cohérent et indivisible de projets fortement imbriqués et interdépendants, un retard dans les projets engagés peut </w:t>
      </w:r>
      <w:proofErr w:type="gramStart"/>
      <w:r w:rsidRPr="00DC6645">
        <w:rPr>
          <w:szCs w:val="21"/>
        </w:rPr>
        <w:t>avoir</w:t>
      </w:r>
      <w:proofErr w:type="gramEnd"/>
      <w:r w:rsidRPr="00DC6645">
        <w:rPr>
          <w:szCs w:val="21"/>
        </w:rPr>
        <w:t xml:space="preserve"> des répercussions importantes sur la suite de la réalisation du projet industriel sur la durée du</w:t>
      </w:r>
      <w:r w:rsidR="00D6271F">
        <w:rPr>
          <w:szCs w:val="21"/>
        </w:rPr>
        <w:t> </w:t>
      </w:r>
      <w:r w:rsidRPr="00DC6645">
        <w:rPr>
          <w:szCs w:val="21"/>
        </w:rPr>
        <w:t>CRE</w:t>
      </w:r>
      <w:r w:rsidR="000E72D2">
        <w:rPr>
          <w:szCs w:val="21"/>
        </w:rPr>
        <w:t> ;</w:t>
      </w:r>
    </w:p>
    <w:p w14:paraId="055DFB4E" w14:textId="7533A336" w:rsidR="00124DDC" w:rsidRPr="00DC6645" w:rsidRDefault="00124DDC" w:rsidP="000724B5">
      <w:pPr>
        <w:numPr>
          <w:ilvl w:val="0"/>
          <w:numId w:val="8"/>
        </w:numPr>
        <w:rPr>
          <w:szCs w:val="21"/>
        </w:rPr>
      </w:pPr>
      <w:r w:rsidRPr="00DC6645">
        <w:rPr>
          <w:szCs w:val="21"/>
        </w:rPr>
        <w:t>de retard prévisionnel d’un investissement structurant : une prévision de retard de livraison d’une infrastructure structurante au-delà de l’horizon de la durée du CRE pourrait être considéré</w:t>
      </w:r>
      <w:r w:rsidR="00A13CF8">
        <w:rPr>
          <w:szCs w:val="21"/>
        </w:rPr>
        <w:t>e</w:t>
      </w:r>
      <w:r w:rsidRPr="00DC6645">
        <w:rPr>
          <w:szCs w:val="21"/>
        </w:rPr>
        <w:t xml:space="preserve"> comme substantiel</w:t>
      </w:r>
      <w:r w:rsidR="00A13CF8">
        <w:rPr>
          <w:szCs w:val="21"/>
        </w:rPr>
        <w:t>le</w:t>
      </w:r>
      <w:r w:rsidR="000E72D2">
        <w:rPr>
          <w:szCs w:val="21"/>
        </w:rPr>
        <w:t> ;</w:t>
      </w:r>
    </w:p>
    <w:p w14:paraId="70EF9A6E" w14:textId="16CD5F8C" w:rsidR="00124DDC" w:rsidRPr="00DC6645" w:rsidRDefault="00124DDC" w:rsidP="000724B5">
      <w:pPr>
        <w:numPr>
          <w:ilvl w:val="0"/>
          <w:numId w:val="8"/>
        </w:numPr>
        <w:rPr>
          <w:szCs w:val="21"/>
        </w:rPr>
      </w:pPr>
      <w:r w:rsidRPr="00DC6645">
        <w:rPr>
          <w:szCs w:val="21"/>
        </w:rPr>
        <w:t>d</w:t>
      </w:r>
      <w:r w:rsidR="00D76B2A">
        <w:rPr>
          <w:szCs w:val="21"/>
        </w:rPr>
        <w:t>’</w:t>
      </w:r>
      <w:r w:rsidRPr="00DC6645">
        <w:rPr>
          <w:szCs w:val="21"/>
        </w:rPr>
        <w:t xml:space="preserve">écarts </w:t>
      </w:r>
      <w:r w:rsidR="00CA4D14" w:rsidRPr="00CA4D14">
        <w:rPr>
          <w:szCs w:val="21"/>
        </w:rPr>
        <w:t>significatifs et durables par rapport aux engagements de qualité de service du CRE, ceux-ci constituant la contrepartie directe des redevances acquittées par les usager</w:t>
      </w:r>
      <w:r w:rsidR="00CA4D14">
        <w:rPr>
          <w:szCs w:val="21"/>
        </w:rPr>
        <w:t>s</w:t>
      </w:r>
      <w:r w:rsidR="000E72D2">
        <w:rPr>
          <w:szCs w:val="21"/>
        </w:rPr>
        <w:t> ;</w:t>
      </w:r>
    </w:p>
    <w:p w14:paraId="045D7410" w14:textId="5982A72A" w:rsidR="00E301B2" w:rsidRDefault="00124DDC">
      <w:pPr>
        <w:keepLines/>
        <w:numPr>
          <w:ilvl w:val="0"/>
          <w:numId w:val="8"/>
        </w:numPr>
        <w:ind w:left="714" w:hanging="357"/>
        <w:rPr>
          <w:szCs w:val="21"/>
        </w:rPr>
      </w:pPr>
      <w:r w:rsidRPr="00DC6645">
        <w:rPr>
          <w:szCs w:val="21"/>
        </w:rPr>
        <w:lastRenderedPageBreak/>
        <w:t>de modifications majeures dans le phasage des travaux entraînant des fermetures prolongées de terminaux ou encore des perturbations importantes d’exploitation non prévues, dégradant l'expérience passager de manière imprévue</w:t>
      </w:r>
      <w:r w:rsidR="00CC3F7F">
        <w:rPr>
          <w:szCs w:val="21"/>
        </w:rPr>
        <w:t xml:space="preserve"> ; </w:t>
      </w:r>
    </w:p>
    <w:p w14:paraId="2CA121B2" w14:textId="2447D0B0" w:rsidR="00B57FFC" w:rsidRPr="00CD158E" w:rsidRDefault="004B709D" w:rsidP="00BD10C0">
      <w:pPr>
        <w:keepLines/>
        <w:numPr>
          <w:ilvl w:val="0"/>
          <w:numId w:val="8"/>
        </w:numPr>
        <w:ind w:left="714" w:hanging="357"/>
        <w:rPr>
          <w:szCs w:val="21"/>
        </w:rPr>
      </w:pPr>
      <w:r w:rsidRPr="00CD158E">
        <w:rPr>
          <w:szCs w:val="21"/>
        </w:rPr>
        <w:t>de modifications significatives</w:t>
      </w:r>
      <w:r w:rsidR="00CD158E">
        <w:rPr>
          <w:szCs w:val="21"/>
        </w:rPr>
        <w:t xml:space="preserve"> </w:t>
      </w:r>
      <w:r w:rsidRPr="00CD158E">
        <w:rPr>
          <w:szCs w:val="21"/>
        </w:rPr>
        <w:t>dans l</w:t>
      </w:r>
      <w:r w:rsidR="00CD158E">
        <w:rPr>
          <w:szCs w:val="21"/>
        </w:rPr>
        <w:t>a</w:t>
      </w:r>
      <w:r w:rsidRPr="00CD158E">
        <w:rPr>
          <w:szCs w:val="21"/>
        </w:rPr>
        <w:t xml:space="preserve"> consistance </w:t>
      </w:r>
      <w:r w:rsidR="00CD158E">
        <w:rPr>
          <w:szCs w:val="21"/>
        </w:rPr>
        <w:t xml:space="preserve">des investissements </w:t>
      </w:r>
      <w:r w:rsidRPr="00CD158E">
        <w:rPr>
          <w:szCs w:val="21"/>
        </w:rPr>
        <w:t xml:space="preserve">par rapport à ceux présentés lors de la consultation </w:t>
      </w:r>
      <w:r w:rsidR="00CD158E" w:rsidRPr="00BD10C0">
        <w:rPr>
          <w:szCs w:val="21"/>
        </w:rPr>
        <w:t>des usagers</w:t>
      </w:r>
      <w:r w:rsidRPr="00CD158E">
        <w:rPr>
          <w:szCs w:val="21"/>
        </w:rPr>
        <w:t>.</w:t>
      </w:r>
    </w:p>
    <w:bookmarkEnd w:id="6"/>
    <w:p w14:paraId="726BBF8B" w14:textId="3585198A" w:rsidR="00E62D3A" w:rsidRPr="00BD10C0" w:rsidRDefault="00ED7E44" w:rsidP="00BD10C0">
      <w:pPr>
        <w:keepLines/>
        <w:numPr>
          <w:ilvl w:val="0"/>
          <w:numId w:val="8"/>
        </w:numPr>
        <w:ind w:left="714" w:hanging="357"/>
        <w:rPr>
          <w:szCs w:val="21"/>
        </w:rPr>
      </w:pPr>
      <w:r>
        <w:rPr>
          <w:szCs w:val="21"/>
        </w:rPr>
        <w:t>à</w:t>
      </w:r>
      <w:r w:rsidR="00E62D3A" w:rsidRPr="00B57FFC">
        <w:rPr>
          <w:szCs w:val="21"/>
        </w:rPr>
        <w:t xml:space="preserve"> l’inverse, l’Autorité </w:t>
      </w:r>
      <w:r w:rsidR="00F2786D" w:rsidRPr="00B57FFC">
        <w:rPr>
          <w:szCs w:val="21"/>
        </w:rPr>
        <w:t xml:space="preserve">n’entend pas considérer </w:t>
      </w:r>
      <w:r w:rsidR="00E62D3A" w:rsidRPr="00B57FFC">
        <w:rPr>
          <w:szCs w:val="21"/>
        </w:rPr>
        <w:t>comme</w:t>
      </w:r>
      <w:r w:rsidR="00217F5B" w:rsidRPr="00B57FFC">
        <w:rPr>
          <w:szCs w:val="21"/>
        </w:rPr>
        <w:t xml:space="preserve"> une</w:t>
      </w:r>
      <w:r w:rsidR="00E62D3A" w:rsidRPr="00B57FFC">
        <w:rPr>
          <w:szCs w:val="21"/>
        </w:rPr>
        <w:t xml:space="preserve"> modification substantielle du projet industriel, celle qui résulterait d’adaptation</w:t>
      </w:r>
      <w:r w:rsidR="0049558B" w:rsidRPr="00B57FFC">
        <w:rPr>
          <w:szCs w:val="21"/>
        </w:rPr>
        <w:t>s techniques</w:t>
      </w:r>
      <w:r w:rsidR="00E62D3A" w:rsidRPr="00B57FFC">
        <w:rPr>
          <w:szCs w:val="21"/>
        </w:rPr>
        <w:t xml:space="preserve"> concertée</w:t>
      </w:r>
      <w:r w:rsidR="0049558B" w:rsidRPr="00B57FFC">
        <w:rPr>
          <w:szCs w:val="21"/>
        </w:rPr>
        <w:t>s</w:t>
      </w:r>
      <w:r w:rsidR="00E62D3A" w:rsidRPr="00B57FFC">
        <w:rPr>
          <w:szCs w:val="21"/>
        </w:rPr>
        <w:t xml:space="preserve"> avec les usagers </w:t>
      </w:r>
      <w:r w:rsidR="00217F5B" w:rsidRPr="00BD10C0">
        <w:rPr>
          <w:szCs w:val="21"/>
        </w:rPr>
        <w:t>afin de</w:t>
      </w:r>
      <w:r w:rsidR="00E62D3A" w:rsidRPr="00BD10C0">
        <w:rPr>
          <w:szCs w:val="21"/>
        </w:rPr>
        <w:t xml:space="preserve"> répondre à leurs besoins opérationnels survenus en cours de CRE.</w:t>
      </w:r>
    </w:p>
    <w:p w14:paraId="60BEE4CE" w14:textId="3BEA14C1" w:rsidR="00E301B2" w:rsidRDefault="00E301B2" w:rsidP="004D13A9">
      <w:pPr>
        <w:rPr>
          <w:b/>
          <w:bCs/>
        </w:rPr>
      </w:pPr>
      <w:r w:rsidRPr="00BD10C0">
        <w:rPr>
          <w:b/>
          <w:bCs/>
        </w:rPr>
        <w:t>Question n°</w:t>
      </w:r>
      <w:r w:rsidR="00342225" w:rsidRPr="00BD10C0">
        <w:rPr>
          <w:b/>
          <w:bCs/>
        </w:rPr>
        <w:t>3 </w:t>
      </w:r>
      <w:r w:rsidRPr="00BD10C0">
        <w:rPr>
          <w:b/>
          <w:bCs/>
        </w:rPr>
        <w:t xml:space="preserve">: </w:t>
      </w:r>
      <w:r w:rsidR="003F435E" w:rsidRPr="00BD10C0">
        <w:rPr>
          <w:b/>
          <w:bCs/>
        </w:rPr>
        <w:t>l</w:t>
      </w:r>
      <w:r w:rsidRPr="00BD10C0">
        <w:rPr>
          <w:b/>
          <w:bCs/>
        </w:rPr>
        <w:t>’interprétation faite de la notion d’évolution du projet industriel appelle-t-elle des observations de votre part ?</w:t>
      </w:r>
      <w:r w:rsidRPr="007D5020">
        <w:rPr>
          <w:b/>
          <w:bCs/>
        </w:rPr>
        <w:t xml:space="preserve"> </w:t>
      </w:r>
    </w:p>
    <w:p w14:paraId="0A64EC37" w14:textId="44D68A09" w:rsidR="00B94EFA" w:rsidRPr="00AB19AC" w:rsidRDefault="00B94EFA" w:rsidP="00B94EFA">
      <w:pPr>
        <w:pStyle w:val="Titre3"/>
      </w:pPr>
      <w:bookmarkStart w:id="7" w:name="_Toc232107519"/>
      <w:bookmarkStart w:id="8" w:name="_Toc232107520"/>
      <w:bookmarkStart w:id="9" w:name="_Toc233976888"/>
      <w:bookmarkEnd w:id="7"/>
      <w:bookmarkEnd w:id="8"/>
      <w:r>
        <w:t xml:space="preserve">Sur </w:t>
      </w:r>
      <w:r w:rsidR="00BD6F54">
        <w:t xml:space="preserve">les </w:t>
      </w:r>
      <w:r w:rsidR="007D5020">
        <w:t>éléments prévisionnels du contrat</w:t>
      </w:r>
      <w:bookmarkEnd w:id="9"/>
    </w:p>
    <w:p w14:paraId="7C4341F2" w14:textId="68EC10E1" w:rsidR="007D5020" w:rsidRDefault="007D5020" w:rsidP="007D5020">
      <w:r>
        <w:t>Le code des transports ne définit pas les « </w:t>
      </w:r>
      <w:r w:rsidRPr="006908F8">
        <w:rPr>
          <w:i/>
          <w:iCs/>
        </w:rPr>
        <w:t>prévisions initiales</w:t>
      </w:r>
      <w:r>
        <w:t xml:space="preserve"> » du contrat dont les évolutions seraient susceptibles de remettre en cause sa poursuite. </w:t>
      </w:r>
    </w:p>
    <w:p w14:paraId="3B45D1AF" w14:textId="0D5FC8C0" w:rsidR="007D5020" w:rsidRDefault="007D5020" w:rsidP="007D5020">
      <w:r>
        <w:t xml:space="preserve">L’Autorité propose de retenir les </w:t>
      </w:r>
      <w:r w:rsidR="009D38AD">
        <w:t xml:space="preserve">éléments </w:t>
      </w:r>
      <w:r>
        <w:t xml:space="preserve">sur la base desquels l’équilibre </w:t>
      </w:r>
      <w:r w:rsidR="0034245B">
        <w:t xml:space="preserve">économique et </w:t>
      </w:r>
      <w:r>
        <w:t xml:space="preserve">financier du CRE a été bâti, en particulier : </w:t>
      </w:r>
    </w:p>
    <w:p w14:paraId="03F49090" w14:textId="2EA53024" w:rsidR="0042758A" w:rsidRPr="00CA3E44" w:rsidRDefault="009751C8" w:rsidP="000724B5">
      <w:pPr>
        <w:pStyle w:val="Paragraphedeliste"/>
        <w:numPr>
          <w:ilvl w:val="0"/>
          <w:numId w:val="9"/>
        </w:numPr>
        <w:spacing w:before="0" w:after="160" w:line="278" w:lineRule="auto"/>
        <w:contextualSpacing/>
        <w:rPr>
          <w:szCs w:val="21"/>
        </w:rPr>
      </w:pPr>
      <w:r w:rsidRPr="00CA3E44">
        <w:rPr>
          <w:szCs w:val="21"/>
        </w:rPr>
        <w:t>le</w:t>
      </w:r>
      <w:r w:rsidR="0042758A" w:rsidRPr="00CA3E44">
        <w:rPr>
          <w:szCs w:val="21"/>
        </w:rPr>
        <w:t xml:space="preserve"> trafic ; </w:t>
      </w:r>
    </w:p>
    <w:p w14:paraId="0B2DC39E" w14:textId="39D0B16C" w:rsidR="0042758A" w:rsidRPr="00CA3E44" w:rsidRDefault="0042758A" w:rsidP="000724B5">
      <w:pPr>
        <w:pStyle w:val="Paragraphedeliste"/>
        <w:numPr>
          <w:ilvl w:val="0"/>
          <w:numId w:val="9"/>
        </w:numPr>
        <w:spacing w:before="0" w:after="160" w:line="278" w:lineRule="auto"/>
        <w:contextualSpacing/>
        <w:rPr>
          <w:szCs w:val="21"/>
        </w:rPr>
      </w:pPr>
      <w:r w:rsidRPr="00CA3E44">
        <w:rPr>
          <w:szCs w:val="21"/>
        </w:rPr>
        <w:t xml:space="preserve">les recettes extra-aéronautiques entrant dans le périmètre régulé </w:t>
      </w:r>
      <w:r w:rsidR="009751C8" w:rsidRPr="00CA3E44">
        <w:rPr>
          <w:szCs w:val="21"/>
        </w:rPr>
        <w:t>et</w:t>
      </w:r>
      <w:r w:rsidRPr="00CA3E44">
        <w:rPr>
          <w:szCs w:val="21"/>
        </w:rPr>
        <w:t xml:space="preserve"> </w:t>
      </w:r>
      <w:r w:rsidR="009751C8" w:rsidRPr="00CA3E44">
        <w:rPr>
          <w:szCs w:val="21"/>
        </w:rPr>
        <w:t xml:space="preserve">dans le périmètre </w:t>
      </w:r>
      <w:r w:rsidRPr="00CA3E44">
        <w:rPr>
          <w:szCs w:val="21"/>
        </w:rPr>
        <w:t>non régulé contributif pour les caisses aménagées</w:t>
      </w:r>
      <w:r w:rsidR="009751C8" w:rsidRPr="00CA3E44">
        <w:rPr>
          <w:szCs w:val="21"/>
        </w:rPr>
        <w:t> ;</w:t>
      </w:r>
    </w:p>
    <w:p w14:paraId="523B79FE" w14:textId="7CCEA847" w:rsidR="0042758A" w:rsidRPr="00CA3E44" w:rsidRDefault="007D5020" w:rsidP="000724B5">
      <w:pPr>
        <w:pStyle w:val="Paragraphedeliste"/>
        <w:numPr>
          <w:ilvl w:val="0"/>
          <w:numId w:val="9"/>
        </w:numPr>
        <w:spacing w:before="0" w:after="160" w:line="278" w:lineRule="auto"/>
        <w:contextualSpacing/>
        <w:rPr>
          <w:szCs w:val="21"/>
        </w:rPr>
      </w:pPr>
      <w:r w:rsidRPr="00CA3E44">
        <w:rPr>
          <w:szCs w:val="21"/>
        </w:rPr>
        <w:t xml:space="preserve">les trajectoires de </w:t>
      </w:r>
      <w:r w:rsidR="0034245B" w:rsidRPr="00CA3E44">
        <w:rPr>
          <w:szCs w:val="21"/>
        </w:rPr>
        <w:t>dépenses</w:t>
      </w:r>
      <w:r w:rsidR="0042758A" w:rsidRPr="00CA3E44">
        <w:rPr>
          <w:szCs w:val="21"/>
        </w:rPr>
        <w:t xml:space="preserve"> d’investissement et les charges de capital associées ;</w:t>
      </w:r>
    </w:p>
    <w:p w14:paraId="45A11DD3" w14:textId="5ABB849C" w:rsidR="007D5020" w:rsidRPr="00CA3E44" w:rsidRDefault="0042758A" w:rsidP="000724B5">
      <w:pPr>
        <w:pStyle w:val="Paragraphedeliste"/>
        <w:numPr>
          <w:ilvl w:val="0"/>
          <w:numId w:val="9"/>
        </w:numPr>
        <w:spacing w:before="0" w:after="160" w:line="278" w:lineRule="auto"/>
        <w:contextualSpacing/>
        <w:rPr>
          <w:szCs w:val="21"/>
        </w:rPr>
      </w:pPr>
      <w:r w:rsidRPr="00CA3E44">
        <w:rPr>
          <w:szCs w:val="21"/>
        </w:rPr>
        <w:t>les trajectoires de charges opérationnelles</w:t>
      </w:r>
      <w:r w:rsidR="00E53F73" w:rsidRPr="00CA3E44">
        <w:rPr>
          <w:szCs w:val="21"/>
        </w:rPr>
        <w:t xml:space="preserve"> et d’impôt</w:t>
      </w:r>
      <w:r w:rsidRPr="00CA3E44">
        <w:rPr>
          <w:szCs w:val="21"/>
        </w:rPr>
        <w:t xml:space="preserve"> </w:t>
      </w:r>
      <w:r w:rsidR="007D5020" w:rsidRPr="00CA3E44">
        <w:rPr>
          <w:szCs w:val="21"/>
        </w:rPr>
        <w:t>;</w:t>
      </w:r>
    </w:p>
    <w:p w14:paraId="7BD81AA5" w14:textId="75494890" w:rsidR="009751C8" w:rsidRPr="00CA3E44" w:rsidRDefault="009751C8" w:rsidP="000724B5">
      <w:pPr>
        <w:pStyle w:val="Paragraphedeliste"/>
        <w:numPr>
          <w:ilvl w:val="0"/>
          <w:numId w:val="9"/>
        </w:numPr>
        <w:spacing w:before="0" w:after="160" w:line="278" w:lineRule="auto"/>
        <w:contextualSpacing/>
        <w:rPr>
          <w:szCs w:val="21"/>
        </w:rPr>
      </w:pPr>
      <w:r w:rsidRPr="00CA3E44">
        <w:rPr>
          <w:szCs w:val="21"/>
        </w:rPr>
        <w:t>le taux d’inflation</w:t>
      </w:r>
      <w:r w:rsidR="0006019E">
        <w:rPr>
          <w:szCs w:val="21"/>
        </w:rPr>
        <w:t>.</w:t>
      </w:r>
      <w:r w:rsidRPr="00CA3E44">
        <w:rPr>
          <w:szCs w:val="21"/>
        </w:rPr>
        <w:t xml:space="preserve"> </w:t>
      </w:r>
    </w:p>
    <w:p w14:paraId="7EC23BAA" w14:textId="18D50E0A" w:rsidR="00D031F4" w:rsidRDefault="006F795D" w:rsidP="004D13A9">
      <w:r w:rsidRPr="00722BF1">
        <w:t>L’Autorité s’interroge sur l’opportunité d’intégrer le</w:t>
      </w:r>
      <w:r w:rsidR="00EC4BCE" w:rsidRPr="00722BF1">
        <w:t>s</w:t>
      </w:r>
      <w:r w:rsidRPr="00722BF1">
        <w:t xml:space="preserve"> </w:t>
      </w:r>
      <w:r w:rsidR="00EC4BCE" w:rsidRPr="00722BF1">
        <w:t>conditions de financement dans la liste ci</w:t>
      </w:r>
      <w:r w:rsidR="004575D5">
        <w:noBreakHyphen/>
      </w:r>
      <w:r w:rsidR="00EC4BCE" w:rsidRPr="00722BF1">
        <w:t>dessus. Ce</w:t>
      </w:r>
      <w:r w:rsidR="00D26B6D" w:rsidRPr="00722BF1">
        <w:t>tte prise en compte</w:t>
      </w:r>
      <w:r w:rsidR="00EC4BCE" w:rsidRPr="00722BF1">
        <w:t xml:space="preserve"> conduirait, </w:t>
      </w:r>
      <w:r w:rsidR="00EC4BCE" w:rsidRPr="00722BF1">
        <w:rPr>
          <w:i/>
          <w:iCs/>
        </w:rPr>
        <w:t>in fine</w:t>
      </w:r>
      <w:r w:rsidR="00EC4BCE" w:rsidRPr="00722BF1">
        <w:t>, à réinterroger</w:t>
      </w:r>
      <w:r w:rsidR="000F4406" w:rsidRPr="00722BF1">
        <w:t>,</w:t>
      </w:r>
      <w:r w:rsidR="00EC4BCE" w:rsidRPr="00722BF1">
        <w:t xml:space="preserve"> au stade de la revoyure</w:t>
      </w:r>
      <w:r w:rsidR="004575D5">
        <w:t xml:space="preserve"> et pour le futur uniquement</w:t>
      </w:r>
      <w:r w:rsidR="00EC4BCE" w:rsidRPr="00722BF1">
        <w:t xml:space="preserve">, le niveau du coût moyen pondéré du capital initialement convenu lors de la signature du contrat, au regard des conditions </w:t>
      </w:r>
      <w:r w:rsidR="004900F2" w:rsidRPr="00722BF1">
        <w:t xml:space="preserve">actuelles </w:t>
      </w:r>
      <w:r w:rsidR="00EC4BCE" w:rsidRPr="00722BF1">
        <w:t>de marché.</w:t>
      </w:r>
      <w:r w:rsidR="00017EB3" w:rsidRPr="00722BF1">
        <w:t xml:space="preserve"> </w:t>
      </w:r>
    </w:p>
    <w:p w14:paraId="7C3590A5" w14:textId="5E167365" w:rsidR="005D2CAB" w:rsidRPr="00BD10C0" w:rsidRDefault="00203DF5" w:rsidP="004D13A9">
      <w:r>
        <w:t>En droit, l</w:t>
      </w:r>
      <w:r w:rsidR="004575D5" w:rsidRPr="004575D5">
        <w:t>'Autorité s'interroge sur la portée</w:t>
      </w:r>
      <w:r w:rsidR="004575D5">
        <w:t>,</w:t>
      </w:r>
      <w:r w:rsidR="004575D5" w:rsidRPr="004575D5">
        <w:t xml:space="preserve"> au stade de la revoyure</w:t>
      </w:r>
      <w:r w:rsidR="004575D5">
        <w:t>, d</w:t>
      </w:r>
      <w:r w:rsidR="00D031F4" w:rsidRPr="00BD10C0">
        <w:t>es dispositions du septième alinéa de l’article L. 6325-2 du code des transports</w:t>
      </w:r>
      <w:r w:rsidR="004575D5">
        <w:t>,</w:t>
      </w:r>
      <w:r w:rsidR="00D031F4" w:rsidRPr="00BD10C0">
        <w:t xml:space="preserve"> qui prévoient que « </w:t>
      </w:r>
      <w:r w:rsidR="00D031F4" w:rsidRPr="00BD10C0">
        <w:rPr>
          <w:i/>
          <w:iCs/>
        </w:rPr>
        <w:t>le niveau du coût moyen pondéré du capital (…) ne peut, pendant la période couverte par le contrat, être remis en cause</w:t>
      </w:r>
      <w:r w:rsidR="00D031F4" w:rsidRPr="00BD10C0">
        <w:t> »</w:t>
      </w:r>
      <w:r w:rsidR="004575D5">
        <w:t>, dès lors qu’</w:t>
      </w:r>
      <w:r w:rsidR="00D031F4" w:rsidRPr="00BD10C0">
        <w:t xml:space="preserve">elles relèvent d’un alinéa dédié </w:t>
      </w:r>
      <w:r w:rsidR="00D031F4" w:rsidRPr="00BD10C0">
        <w:rPr>
          <w:i/>
          <w:iCs/>
        </w:rPr>
        <w:t>« à l’évolution des tarifs</w:t>
      </w:r>
      <w:r w:rsidR="00D031F4" w:rsidRPr="00BD10C0">
        <w:t> » entre les différentes périodes tarifaires au cours du CRE.</w:t>
      </w:r>
      <w:r w:rsidR="00263984" w:rsidRPr="00BD10C0">
        <w:t xml:space="preserve"> </w:t>
      </w:r>
    </w:p>
    <w:p w14:paraId="1351DD41" w14:textId="5EC1A178" w:rsidR="00D26B6D" w:rsidRDefault="00203DF5" w:rsidP="0091082D">
      <w:r>
        <w:t>En opportunité, u</w:t>
      </w:r>
      <w:r w:rsidR="0046373F" w:rsidRPr="00F21B83">
        <w:t>ne</w:t>
      </w:r>
      <w:r w:rsidR="0046373F" w:rsidRPr="00722BF1">
        <w:t xml:space="preserve"> telle </w:t>
      </w:r>
      <w:r w:rsidR="00017EB3" w:rsidRPr="00722BF1">
        <w:t xml:space="preserve">approche </w:t>
      </w:r>
      <w:r w:rsidR="0046373F" w:rsidRPr="00722BF1">
        <w:t xml:space="preserve">présenterait </w:t>
      </w:r>
      <w:r w:rsidR="00017EB3" w:rsidRPr="00722BF1">
        <w:t>l’</w:t>
      </w:r>
      <w:r w:rsidR="0046373F" w:rsidRPr="00722BF1">
        <w:t xml:space="preserve">avantage </w:t>
      </w:r>
      <w:r w:rsidR="00017EB3" w:rsidRPr="00722BF1">
        <w:t xml:space="preserve">de réduire le risque pour les parties prenantes </w:t>
      </w:r>
      <w:r w:rsidR="005D2CAB" w:rsidRPr="00722BF1">
        <w:t xml:space="preserve">face </w:t>
      </w:r>
      <w:r w:rsidR="00017EB3" w:rsidRPr="00722BF1">
        <w:t>à un décalage important entre le niveau de CMPC initial et les conditions réelles de financement</w:t>
      </w:r>
      <w:r w:rsidR="0046373F" w:rsidRPr="00722BF1">
        <w:t xml:space="preserve">, </w:t>
      </w:r>
      <w:r w:rsidR="00917FD5" w:rsidRPr="00722BF1">
        <w:t xml:space="preserve">tant pour l’exploitant qui ne </w:t>
      </w:r>
      <w:r w:rsidR="003972C3" w:rsidRPr="00722BF1">
        <w:t xml:space="preserve">serait pas engagé </w:t>
      </w:r>
      <w:r w:rsidR="00917FD5" w:rsidRPr="00722BF1">
        <w:t>sur un niveau de rémunération fixe pour la durée totale du CRE et verrait ainsi son risque lié aux conditions de financement réduit, que pour les usagers qui</w:t>
      </w:r>
      <w:r w:rsidR="00917FD5">
        <w:t xml:space="preserve"> n’auraient pas à financer une </w:t>
      </w:r>
      <w:r w:rsidR="00FE47DA">
        <w:t xml:space="preserve">sur-rémunération </w:t>
      </w:r>
      <w:r w:rsidR="00DB60AB">
        <w:t xml:space="preserve">pour l’exploitant </w:t>
      </w:r>
      <w:r w:rsidR="00917FD5">
        <w:t xml:space="preserve">sur toute la durée du contrat en cas d’amélioration </w:t>
      </w:r>
      <w:r w:rsidR="003972C3">
        <w:t xml:space="preserve">significative </w:t>
      </w:r>
      <w:r w:rsidR="00917FD5">
        <w:t xml:space="preserve">de </w:t>
      </w:r>
      <w:r w:rsidR="00DB60AB">
        <w:t>s</w:t>
      </w:r>
      <w:r w:rsidR="00917FD5">
        <w:t>es conditions de financement.</w:t>
      </w:r>
      <w:r w:rsidR="00017EB3">
        <w:t xml:space="preserve"> </w:t>
      </w:r>
      <w:r w:rsidR="00D26B6D" w:rsidRPr="00722BF1">
        <w:rPr>
          <w:i/>
          <w:iCs/>
        </w:rPr>
        <w:t>A contrario</w:t>
      </w:r>
      <w:r w:rsidR="00D26B6D">
        <w:t xml:space="preserve">, une telle approche pourrait réduire la visibilité </w:t>
      </w:r>
      <w:r w:rsidR="00E045E6">
        <w:t>des parties prenantes, tant de l’exploitant sur les conditions de financement de son projet industriel, que des usagers sur les trajectoires tarifaires</w:t>
      </w:r>
      <w:r>
        <w:t xml:space="preserve"> et, partant, augmenter le risque régulatoire perçu</w:t>
      </w:r>
      <w:r w:rsidR="00E045E6">
        <w:t>.</w:t>
      </w:r>
      <w:r>
        <w:t xml:space="preserve"> La résultante de ces deux effets sur le risque régulatoire perçu et, partant, le CMPC retenu, apparaît incertaine.</w:t>
      </w:r>
    </w:p>
    <w:p w14:paraId="5BB50550" w14:textId="3258D9E4" w:rsidR="0042758A" w:rsidRDefault="0042758A" w:rsidP="00BD10C0">
      <w:pPr>
        <w:keepLines/>
        <w:rPr>
          <w:b/>
          <w:bCs/>
        </w:rPr>
      </w:pPr>
      <w:r w:rsidRPr="00BD10C0">
        <w:rPr>
          <w:b/>
          <w:bCs/>
        </w:rPr>
        <w:lastRenderedPageBreak/>
        <w:t>Question </w:t>
      </w:r>
      <w:r w:rsidR="00E301B2" w:rsidRPr="00BD10C0">
        <w:rPr>
          <w:b/>
          <w:bCs/>
        </w:rPr>
        <w:t>n°</w:t>
      </w:r>
      <w:r w:rsidR="00342225" w:rsidRPr="00BD10C0">
        <w:rPr>
          <w:b/>
          <w:bCs/>
        </w:rPr>
        <w:t>4 </w:t>
      </w:r>
      <w:r w:rsidR="00E301B2" w:rsidRPr="00BD10C0">
        <w:rPr>
          <w:b/>
          <w:bCs/>
        </w:rPr>
        <w:t>: c</w:t>
      </w:r>
      <w:r w:rsidRPr="00BD10C0">
        <w:rPr>
          <w:b/>
          <w:bCs/>
        </w:rPr>
        <w:t xml:space="preserve">ette liste appelle-t-elle des observations de votre part ? </w:t>
      </w:r>
      <w:r w:rsidR="00EC4BCE" w:rsidRPr="00BD10C0">
        <w:rPr>
          <w:b/>
          <w:bCs/>
        </w:rPr>
        <w:t xml:space="preserve">En particulier, </w:t>
      </w:r>
      <w:r w:rsidR="00FE47DA" w:rsidRPr="00BD10C0">
        <w:rPr>
          <w:b/>
          <w:bCs/>
        </w:rPr>
        <w:t>quelle lecture faites-vous de la portée du septième alinéa de l'article L. 6325-2 du code des transports au stade de la revoyure ? L</w:t>
      </w:r>
      <w:r w:rsidR="00EC4BCE" w:rsidRPr="00BD10C0">
        <w:rPr>
          <w:b/>
          <w:bCs/>
        </w:rPr>
        <w:t xml:space="preserve">es conditions de financement </w:t>
      </w:r>
      <w:r w:rsidR="0046373F" w:rsidRPr="00BD10C0">
        <w:rPr>
          <w:b/>
          <w:bCs/>
        </w:rPr>
        <w:t xml:space="preserve">et le niveau de CMPC </w:t>
      </w:r>
      <w:r w:rsidR="00EC4BCE" w:rsidRPr="00BD10C0">
        <w:rPr>
          <w:b/>
          <w:bCs/>
        </w:rPr>
        <w:t>devraient-</w:t>
      </w:r>
      <w:r w:rsidR="005A1D23" w:rsidRPr="00BD10C0">
        <w:rPr>
          <w:b/>
          <w:bCs/>
        </w:rPr>
        <w:t xml:space="preserve">ils </w:t>
      </w:r>
      <w:r w:rsidR="00EC4BCE" w:rsidRPr="00BD10C0">
        <w:rPr>
          <w:b/>
          <w:bCs/>
        </w:rPr>
        <w:t>y être intégrés</w:t>
      </w:r>
      <w:r w:rsidR="004575D5" w:rsidRPr="00BD10C0">
        <w:rPr>
          <w:b/>
          <w:bCs/>
        </w:rPr>
        <w:t xml:space="preserve"> selon vous</w:t>
      </w:r>
      <w:r w:rsidR="00EC4BCE" w:rsidRPr="00BD10C0">
        <w:rPr>
          <w:b/>
          <w:bCs/>
        </w:rPr>
        <w:t xml:space="preserve"> ? </w:t>
      </w:r>
      <w:r w:rsidRPr="00BD10C0">
        <w:rPr>
          <w:b/>
          <w:bCs/>
        </w:rPr>
        <w:t>Identifiez-vous d’autres éléments prévisionnels qui mériteraient d’être pris en compte par l’Autorité ?</w:t>
      </w:r>
      <w:r w:rsidRPr="007D5020">
        <w:rPr>
          <w:b/>
          <w:bCs/>
        </w:rPr>
        <w:t xml:space="preserve"> </w:t>
      </w:r>
    </w:p>
    <w:p w14:paraId="3BA1E8CA" w14:textId="5D90751E" w:rsidR="00A2433C" w:rsidRDefault="00A2433C" w:rsidP="007D5020">
      <w:r>
        <w:t>L’Autorité analysera</w:t>
      </w:r>
      <w:r w:rsidR="000F4406">
        <w:t>,</w:t>
      </w:r>
      <w:r w:rsidR="0034245B">
        <w:t xml:space="preserve"> </w:t>
      </w:r>
      <w:r w:rsidR="00260924">
        <w:t>dans son avis conforme sur la poursuite du CRE</w:t>
      </w:r>
      <w:r w:rsidR="00E301B2">
        <w:t>,</w:t>
      </w:r>
      <w:r>
        <w:t xml:space="preserve"> les évolutions de</w:t>
      </w:r>
      <w:r w:rsidR="00260924">
        <w:t xml:space="preserve"> ce</w:t>
      </w:r>
      <w:r>
        <w:t>s éléments prévisionnels</w:t>
      </w:r>
      <w:r w:rsidR="00260924">
        <w:t>, tant sur les premières années écoulées du CRE</w:t>
      </w:r>
      <w:r w:rsidR="000F4406">
        <w:t>,</w:t>
      </w:r>
      <w:r w:rsidR="00260924">
        <w:t xml:space="preserve"> en comparant les prévisions initiales aux données réalisées, que sur les années restantes, en comparant les prévisions initiales aux prévisions actualisées à la date de sa saisine</w:t>
      </w:r>
      <w:r>
        <w:t xml:space="preserve">. </w:t>
      </w:r>
    </w:p>
    <w:p w14:paraId="3AC5E0A5" w14:textId="07760A00" w:rsidR="00452BA4" w:rsidRDefault="00615A55" w:rsidP="0006019E">
      <w:r>
        <w:t>L</w:t>
      </w:r>
      <w:r w:rsidR="00E27A99">
        <w:t>’</w:t>
      </w:r>
      <w:r w:rsidR="000F754B">
        <w:t>indicateur</w:t>
      </w:r>
      <w:r>
        <w:t xml:space="preserve"> </w:t>
      </w:r>
      <w:r w:rsidR="00E27A99">
        <w:t xml:space="preserve">à privilégier </w:t>
      </w:r>
      <w:r w:rsidR="000F754B">
        <w:t xml:space="preserve">pour observer et juger </w:t>
      </w:r>
      <w:r w:rsidR="00986855">
        <w:t>du</w:t>
      </w:r>
      <w:r w:rsidR="000F754B">
        <w:t xml:space="preserve"> caractère substantiel </w:t>
      </w:r>
      <w:r w:rsidR="00986855">
        <w:t xml:space="preserve">de l’ensemble de ces écarts </w:t>
      </w:r>
      <w:r w:rsidR="000F754B">
        <w:t xml:space="preserve">devrait être le </w:t>
      </w:r>
      <w:r>
        <w:t>taux de ROCE</w:t>
      </w:r>
      <w:r w:rsidR="000F754B">
        <w:t xml:space="preserve"> </w:t>
      </w:r>
      <w:r w:rsidR="00C52AF2">
        <w:t xml:space="preserve">évalué en valeur moyenne sur la durée du CRE </w:t>
      </w:r>
      <w:r w:rsidR="000F754B">
        <w:t>révisé par rapport au ROCE initial,</w:t>
      </w:r>
      <w:r w:rsidR="00C52AF2">
        <w:t xml:space="preserve"> </w:t>
      </w:r>
      <w:r w:rsidR="001F3F6F">
        <w:t>en tenant compte d</w:t>
      </w:r>
      <w:r w:rsidR="00C52AF2">
        <w:t xml:space="preserve">es données réalisées pour les années achevées à la date de la revoyure </w:t>
      </w:r>
      <w:r w:rsidR="001F3F6F">
        <w:t>et d’une actualisation de</w:t>
      </w:r>
      <w:r w:rsidR="00217F5B">
        <w:t>s</w:t>
      </w:r>
      <w:r w:rsidR="001F3F6F">
        <w:t xml:space="preserve"> prévisions pour les années au-delà</w:t>
      </w:r>
      <w:r>
        <w:t xml:space="preserve">. </w:t>
      </w:r>
      <w:r w:rsidR="0006019E">
        <w:t>Les modifications substantielles seront appréciées par l’Autorité sur la durée totale du CRE</w:t>
      </w:r>
      <w:r w:rsidR="008F6A05">
        <w:t xml:space="preserve"> pour évaluer la pertinence de la poursuite du CRE. En cas de révision, les évolutions</w:t>
      </w:r>
      <w:r w:rsidR="00452BA4">
        <w:t xml:space="preserve"> du contrat</w:t>
      </w:r>
      <w:r w:rsidR="008F6A05">
        <w:t xml:space="preserve"> seront purement prospectives</w:t>
      </w:r>
      <w:r w:rsidR="00452BA4">
        <w:t> ; en particulier,</w:t>
      </w:r>
      <w:r w:rsidR="008F6A05">
        <w:t xml:space="preserve"> </w:t>
      </w:r>
      <w:r w:rsidR="0006019E">
        <w:t xml:space="preserve">les éventuels gains ou </w:t>
      </w:r>
      <w:r w:rsidR="00722BF1">
        <w:t>pertes réalisés</w:t>
      </w:r>
      <w:r w:rsidR="0006019E">
        <w:t xml:space="preserve"> par l’exploitant en amont de son avis conforme lui resteront acquis</w:t>
      </w:r>
      <w:r w:rsidR="008F6A05">
        <w:t>.</w:t>
      </w:r>
    </w:p>
    <w:p w14:paraId="31A65D73" w14:textId="5E640BD3" w:rsidR="003F435E" w:rsidRPr="007D5020" w:rsidRDefault="003F435E" w:rsidP="003F435E">
      <w:pPr>
        <w:rPr>
          <w:b/>
          <w:bCs/>
        </w:rPr>
      </w:pPr>
      <w:r w:rsidRPr="00BD10C0">
        <w:rPr>
          <w:b/>
          <w:bCs/>
        </w:rPr>
        <w:t>Question n°</w:t>
      </w:r>
      <w:r w:rsidR="00342225" w:rsidRPr="00BD10C0">
        <w:rPr>
          <w:b/>
          <w:bCs/>
        </w:rPr>
        <w:t xml:space="preserve">5 </w:t>
      </w:r>
      <w:r w:rsidRPr="00BD10C0">
        <w:rPr>
          <w:b/>
          <w:bCs/>
        </w:rPr>
        <w:t>: l’utilisation du ROCE moyen sur la durée du CRE comme principal indicateur pour objectiver les écarts appelle-t-elle des observations de votre part ?</w:t>
      </w:r>
    </w:p>
    <w:p w14:paraId="30AFB68E" w14:textId="0E1E07E0" w:rsidR="000F754B" w:rsidRDefault="00615A55" w:rsidP="00615A55">
      <w:r>
        <w:t xml:space="preserve">Le </w:t>
      </w:r>
      <w:r w:rsidR="00780D44">
        <w:t xml:space="preserve">taux de </w:t>
      </w:r>
      <w:r>
        <w:t xml:space="preserve">ROCE moyen serait entendu </w:t>
      </w:r>
      <w:r w:rsidRPr="003F435E">
        <w:t>après</w:t>
      </w:r>
      <w:r>
        <w:t xml:space="preserve"> </w:t>
      </w:r>
      <w:r w:rsidR="00780D44">
        <w:t>effet</w:t>
      </w:r>
      <w:r>
        <w:t xml:space="preserve"> des ajustements réalisés en application des stipulations du contrat</w:t>
      </w:r>
      <w:r w:rsidR="00037E61">
        <w:t xml:space="preserve">. L’Autorité </w:t>
      </w:r>
      <w:r w:rsidR="0051144C">
        <w:t>considère qu’il convient d’</w:t>
      </w:r>
      <w:r w:rsidR="00037E61">
        <w:t>interpréter de manière extensive cette notion en y intégrant</w:t>
      </w:r>
      <w:r>
        <w:t xml:space="preserve"> </w:t>
      </w:r>
      <w:r w:rsidR="0042758A">
        <w:t>(i)</w:t>
      </w:r>
      <w:r>
        <w:t xml:space="preserve"> les facteurs d’ajustement prévus contractuellement</w:t>
      </w:r>
      <w:r w:rsidR="009C0893">
        <w:t xml:space="preserve"> tels que les facteurs d’ajustements sur le trafic ou </w:t>
      </w:r>
      <w:r w:rsidR="006873DD">
        <w:t>les investissements</w:t>
      </w:r>
      <w:r w:rsidR="00CF67B9">
        <w:t>,</w:t>
      </w:r>
      <w:r>
        <w:t xml:space="preserve"> </w:t>
      </w:r>
      <w:r w:rsidR="0042758A">
        <w:t>mais aussi (ii</w:t>
      </w:r>
      <w:r w:rsidR="0051144C">
        <w:t>) </w:t>
      </w:r>
      <w:r>
        <w:t>l’ensemble des autres mécanismes contractuels ayant conduit à modifier l’équilibre économique initial du CRE</w:t>
      </w:r>
      <w:r w:rsidR="009C0893">
        <w:t xml:space="preserve">, comme les éventuelles révisions du CRE, lesquelles ont </w:t>
      </w:r>
      <w:r>
        <w:t>par nature</w:t>
      </w:r>
      <w:r w:rsidR="0051144C">
        <w:t>,</w:t>
      </w:r>
      <w:r>
        <w:t xml:space="preserve"> vocation à compenser, au moins partiellement, les effets sur la rémunération de l’exploitant de</w:t>
      </w:r>
      <w:r w:rsidR="009C0893">
        <w:t>s</w:t>
      </w:r>
      <w:r>
        <w:t xml:space="preserve"> écarts</w:t>
      </w:r>
      <w:r w:rsidR="009C0893">
        <w:t xml:space="preserve"> constatés entre </w:t>
      </w:r>
      <w:r w:rsidR="00D9514B">
        <w:t>les</w:t>
      </w:r>
      <w:r>
        <w:t xml:space="preserve"> éléments prévisionnels du contrat</w:t>
      </w:r>
      <w:r w:rsidR="00D9514B">
        <w:t xml:space="preserve"> et </w:t>
      </w:r>
      <w:r w:rsidR="001F3F6F">
        <w:t>ceux</w:t>
      </w:r>
      <w:r w:rsidR="00D9514B">
        <w:t xml:space="preserve"> </w:t>
      </w:r>
      <w:r w:rsidR="001F3F6F">
        <w:t xml:space="preserve">effectivement </w:t>
      </w:r>
      <w:r w:rsidR="00D9514B">
        <w:t>réalisé</w:t>
      </w:r>
      <w:r w:rsidR="001F3F6F">
        <w:t>s</w:t>
      </w:r>
      <w:r>
        <w:t>.</w:t>
      </w:r>
      <w:r w:rsidR="0043581A">
        <w:t xml:space="preserve"> </w:t>
      </w:r>
    </w:p>
    <w:p w14:paraId="143EE0F4" w14:textId="41A46545" w:rsidR="0043581A" w:rsidRDefault="0043581A" w:rsidP="00615A55">
      <w:r>
        <w:t>L’Autorité veillera également à évaluer si les impacts prévisionnels des mécanismes d’ajustement n’ont pas pour effet d’amener le compte d’ajustement à des niveaux incompatibles avec un apurement sur la durée du CRE et la période subséquente prévue au contrat</w:t>
      </w:r>
      <w:r w:rsidR="0051144C">
        <w:t>,</w:t>
      </w:r>
      <w:r>
        <w:t xml:space="preserve"> compte tenu des mécanismes de plafonnement. Dans ce cas, elle en tiendrait compte dans son appréciation du besoin de révision du CRE. </w:t>
      </w:r>
    </w:p>
    <w:bookmarkEnd w:id="4"/>
    <w:p w14:paraId="61A39403" w14:textId="77777777" w:rsidR="00BD10C0" w:rsidRDefault="00BD10C0">
      <w:pPr>
        <w:spacing w:before="0" w:after="0" w:line="280" w:lineRule="atLeast"/>
        <w:jc w:val="left"/>
        <w:rPr>
          <w:rFonts w:eastAsiaTheme="majorEastAsia" w:cstheme="majorBidi"/>
          <w:bCs/>
          <w:color w:val="24356D"/>
          <w:szCs w:val="26"/>
        </w:rPr>
      </w:pPr>
      <w:r>
        <w:br w:type="page"/>
      </w:r>
    </w:p>
    <w:p w14:paraId="11B7BC43" w14:textId="266DE980" w:rsidR="00720DE6" w:rsidRDefault="00124DDC" w:rsidP="004D13A9">
      <w:pPr>
        <w:pStyle w:val="Titre3"/>
      </w:pPr>
      <w:bookmarkStart w:id="10" w:name="_Toc233976889"/>
      <w:r>
        <w:lastRenderedPageBreak/>
        <w:t>Sur l’o</w:t>
      </w:r>
      <w:r w:rsidR="00720DE6">
        <w:t>ffice de l’Autorité</w:t>
      </w:r>
      <w:bookmarkEnd w:id="10"/>
    </w:p>
    <w:p w14:paraId="2032D7CE" w14:textId="52658856" w:rsidR="00D27CF3" w:rsidRPr="00BD10C0" w:rsidRDefault="00D27CF3" w:rsidP="00BD10C0">
      <w:pPr>
        <w:pStyle w:val="pf0"/>
        <w:jc w:val="both"/>
        <w:rPr>
          <w:rFonts w:ascii="Roboto" w:eastAsiaTheme="minorHAnsi" w:hAnsi="Roboto"/>
          <w:sz w:val="21"/>
          <w:szCs w:val="20"/>
        </w:rPr>
      </w:pPr>
      <w:r w:rsidRPr="00BD10C0">
        <w:rPr>
          <w:rFonts w:ascii="Roboto" w:eastAsiaTheme="minorHAnsi" w:hAnsi="Roboto"/>
          <w:sz w:val="21"/>
          <w:szCs w:val="20"/>
        </w:rPr>
        <w:t>L'avis conforme de l'Autorité sur la poursuite de l'exécution du contrat a pour seul objet, conformément à l'intention du législateur, de faire obstacle à ce qu'un contrat générant une sur</w:t>
      </w:r>
      <w:r>
        <w:rPr>
          <w:rFonts w:ascii="Roboto" w:eastAsiaTheme="minorHAnsi" w:hAnsi="Roboto"/>
          <w:sz w:val="21"/>
          <w:szCs w:val="20"/>
        </w:rPr>
        <w:noBreakHyphen/>
      </w:r>
      <w:r w:rsidRPr="00BD10C0">
        <w:rPr>
          <w:rFonts w:ascii="Roboto" w:eastAsiaTheme="minorHAnsi" w:hAnsi="Roboto"/>
          <w:sz w:val="21"/>
          <w:szCs w:val="20"/>
        </w:rPr>
        <w:t>rémunération de l'exploitant au détriment des usagers se poursuive au-delà de la durée de principe de cinq ans. Seule la caractérisation d'une modification substantielle emportant une telle sur-rémunération, appréciée conformément à la définition proposée au point 2.1.1, justifiera donc un avis défavorable de l'Autorité sur la poursuite de l'exécution du contrat.</w:t>
      </w:r>
    </w:p>
    <w:p w14:paraId="598DBFF8" w14:textId="757200C0" w:rsidR="00D27CF3" w:rsidRPr="00BD10C0" w:rsidRDefault="00D27CF3" w:rsidP="00BD10C0">
      <w:pPr>
        <w:pStyle w:val="pf0"/>
        <w:jc w:val="both"/>
        <w:rPr>
          <w:rFonts w:ascii="Roboto" w:eastAsiaTheme="minorHAnsi" w:hAnsi="Roboto"/>
          <w:sz w:val="21"/>
          <w:szCs w:val="20"/>
        </w:rPr>
      </w:pPr>
      <w:r w:rsidRPr="00BD10C0">
        <w:rPr>
          <w:rFonts w:ascii="Roboto" w:eastAsiaTheme="minorHAnsi" w:hAnsi="Roboto"/>
          <w:sz w:val="21"/>
          <w:szCs w:val="20"/>
        </w:rPr>
        <w:t>Néanmoins, e</w:t>
      </w:r>
      <w:r w:rsidRPr="00B82441">
        <w:rPr>
          <w:rFonts w:ascii="Roboto" w:eastAsiaTheme="minorHAnsi" w:hAnsi="Roboto"/>
          <w:sz w:val="21"/>
          <w:szCs w:val="20"/>
        </w:rPr>
        <w:t>n cas de modification substantielle, l'État et l'exploitant procèdent à la révision ou à la résiliation anticipée du contrat dans les conditions prévues au cinquième alinéa de l'article</w:t>
      </w:r>
      <w:r w:rsidR="00DC1D9B" w:rsidRPr="00B82441">
        <w:rPr>
          <w:rFonts w:ascii="Roboto" w:eastAsiaTheme="minorHAnsi" w:hAnsi="Roboto"/>
          <w:sz w:val="21"/>
          <w:szCs w:val="20"/>
        </w:rPr>
        <w:t> </w:t>
      </w:r>
      <w:r w:rsidRPr="00B82441">
        <w:rPr>
          <w:rFonts w:ascii="Roboto" w:eastAsiaTheme="minorHAnsi" w:hAnsi="Roboto"/>
          <w:sz w:val="21"/>
          <w:szCs w:val="20"/>
        </w:rPr>
        <w:t>L.</w:t>
      </w:r>
      <w:r w:rsidR="00DC1D9B" w:rsidRPr="00B82441">
        <w:rPr>
          <w:rFonts w:ascii="Roboto" w:eastAsiaTheme="minorHAnsi" w:hAnsi="Roboto"/>
          <w:sz w:val="21"/>
          <w:szCs w:val="20"/>
        </w:rPr>
        <w:t> </w:t>
      </w:r>
      <w:r w:rsidRPr="00B82441">
        <w:rPr>
          <w:rFonts w:ascii="Roboto" w:eastAsiaTheme="minorHAnsi" w:hAnsi="Roboto"/>
          <w:sz w:val="21"/>
          <w:szCs w:val="20"/>
        </w:rPr>
        <w:t>6325</w:t>
      </w:r>
      <w:r w:rsidR="00DC1D9B" w:rsidRPr="00B82441">
        <w:rPr>
          <w:rFonts w:ascii="Roboto" w:eastAsiaTheme="minorHAnsi" w:hAnsi="Roboto"/>
          <w:sz w:val="21"/>
          <w:szCs w:val="20"/>
        </w:rPr>
        <w:noBreakHyphen/>
      </w:r>
      <w:r w:rsidRPr="00B82441">
        <w:rPr>
          <w:rFonts w:ascii="Roboto" w:eastAsiaTheme="minorHAnsi" w:hAnsi="Roboto"/>
          <w:sz w:val="21"/>
          <w:szCs w:val="20"/>
        </w:rPr>
        <w:t>2 du code des transports, le choix entre ces deux voies appartenant aux parties. Ces dispositions ne distinguent pas selon le sens dans lequel la modification substantielle affecte l'équilibre économique du contrat, ce qui garantit le caractère symétrique du dispositif : une modification intervenue au détriment de l'exploitant, si elle ne fait pas obstacle à la poursuite du contrat au sens de l'avis conforme de l'Autorité, relève également de ces dispositions.</w:t>
      </w:r>
    </w:p>
    <w:p w14:paraId="2E0A6789" w14:textId="77777777" w:rsidR="00D27CF3" w:rsidRPr="00BD10C0" w:rsidRDefault="00D27CF3" w:rsidP="00BD10C0">
      <w:pPr>
        <w:pStyle w:val="pf0"/>
        <w:jc w:val="both"/>
        <w:rPr>
          <w:rFonts w:ascii="Roboto" w:eastAsiaTheme="minorHAnsi" w:hAnsi="Roboto"/>
          <w:sz w:val="21"/>
          <w:szCs w:val="20"/>
        </w:rPr>
      </w:pPr>
      <w:r w:rsidRPr="00BD10C0">
        <w:rPr>
          <w:rFonts w:ascii="Roboto" w:eastAsiaTheme="minorHAnsi" w:hAnsi="Roboto"/>
          <w:sz w:val="21"/>
          <w:szCs w:val="20"/>
        </w:rPr>
        <w:t>Dans son avis conforme et dans un souci d'équilibre entre les parties prenantes, l'Autorité s'attachera en conséquence à mettre en évidence toute modification substantielle des éléments prévisionnels du contrat ou du projet industriel, qu'elle soit en faveur de l'exploitant ou des usagers.</w:t>
      </w:r>
    </w:p>
    <w:p w14:paraId="3C38F640" w14:textId="5380079B" w:rsidR="007D5020" w:rsidRDefault="00D27CF3" w:rsidP="00BD10C0">
      <w:pPr>
        <w:pStyle w:val="NormalWeb"/>
        <w:jc w:val="both"/>
      </w:pPr>
      <w:r w:rsidRPr="00BD10C0">
        <w:rPr>
          <w:rFonts w:ascii="Roboto" w:hAnsi="Roboto"/>
          <w:sz w:val="21"/>
          <w:szCs w:val="20"/>
        </w:rPr>
        <w:t>Afin d'éclairer les parties et de permettre, le cas échéant, une révision à brefs délais, elle précisera dans son avis les modifications qui seraient de nature à rétablir l'équilibre économique du contrat</w:t>
      </w:r>
      <w:r>
        <w:rPr>
          <w:rFonts w:ascii="Roboto" w:eastAsiaTheme="minorHAnsi" w:hAnsi="Roboto"/>
          <w:sz w:val="21"/>
          <w:szCs w:val="20"/>
        </w:rPr>
        <w:t>.</w:t>
      </w:r>
    </w:p>
    <w:p w14:paraId="704BDAED" w14:textId="42281614" w:rsidR="007D5020" w:rsidRDefault="007D5020" w:rsidP="00D27CF3">
      <w:r>
        <w:t>Cette approche est de nature à limiter le risque de l’ensemble des parties prenantes, sans remettre en cause l’intérêt d’une régulation pluriannuelle et en préservant les incitations de l’exploitant à</w:t>
      </w:r>
      <w:r w:rsidR="00F147DE">
        <w:t> </w:t>
      </w:r>
      <w:r>
        <w:t xml:space="preserve">l’efficacité. </w:t>
      </w:r>
    </w:p>
    <w:p w14:paraId="7BE39C3B" w14:textId="3DFA3D0D" w:rsidR="003F435E" w:rsidRPr="007D5020" w:rsidRDefault="003F435E" w:rsidP="003F435E">
      <w:pPr>
        <w:rPr>
          <w:b/>
          <w:bCs/>
        </w:rPr>
      </w:pPr>
      <w:r w:rsidRPr="00BD10C0">
        <w:rPr>
          <w:b/>
          <w:bCs/>
        </w:rPr>
        <w:t>Question n°</w:t>
      </w:r>
      <w:r w:rsidR="00342225" w:rsidRPr="00BD10C0">
        <w:rPr>
          <w:b/>
          <w:bCs/>
        </w:rPr>
        <w:t xml:space="preserve">6 </w:t>
      </w:r>
      <w:r w:rsidRPr="00BD10C0">
        <w:rPr>
          <w:b/>
          <w:bCs/>
        </w:rPr>
        <w:t xml:space="preserve">: </w:t>
      </w:r>
      <w:r w:rsidR="00BF6C66" w:rsidRPr="00BD10C0">
        <w:rPr>
          <w:b/>
          <w:bCs/>
        </w:rPr>
        <w:t>l</w:t>
      </w:r>
      <w:r w:rsidR="00595CCF" w:rsidRPr="00BD10C0">
        <w:rPr>
          <w:b/>
          <w:bCs/>
        </w:rPr>
        <w:t>a précision proposée</w:t>
      </w:r>
      <w:r w:rsidRPr="00BD10C0">
        <w:rPr>
          <w:b/>
          <w:bCs/>
        </w:rPr>
        <w:t xml:space="preserve"> de l’office de l’Autorité appelle-t-elle des observations de votre</w:t>
      </w:r>
      <w:r w:rsidR="00F147DE" w:rsidRPr="00BD10C0">
        <w:rPr>
          <w:b/>
          <w:bCs/>
        </w:rPr>
        <w:t> </w:t>
      </w:r>
      <w:r w:rsidRPr="00BD10C0">
        <w:rPr>
          <w:b/>
          <w:bCs/>
        </w:rPr>
        <w:t>part ?</w:t>
      </w:r>
    </w:p>
    <w:p w14:paraId="766A1C59" w14:textId="475D3C1B" w:rsidR="00BF1965" w:rsidRPr="00977D39" w:rsidRDefault="00BF1965" w:rsidP="00BF1965">
      <w:pPr>
        <w:pStyle w:val="Titre2"/>
      </w:pPr>
      <w:bookmarkStart w:id="11" w:name="_Toc232107523"/>
      <w:bookmarkStart w:id="12" w:name="_Toc233976890"/>
      <w:bookmarkEnd w:id="11"/>
      <w:r>
        <w:t xml:space="preserve">La consultation </w:t>
      </w:r>
      <w:r w:rsidR="00124DDC">
        <w:t xml:space="preserve">préalable </w:t>
      </w:r>
      <w:r>
        <w:t>des usagers doit éclairer l’Autorité</w:t>
      </w:r>
      <w:bookmarkEnd w:id="12"/>
    </w:p>
    <w:p w14:paraId="5FCE8C6C" w14:textId="4404EF1E" w:rsidR="00BF1965" w:rsidRPr="00966720" w:rsidRDefault="00BF1965" w:rsidP="00BF1965">
      <w:r w:rsidRPr="00E357AD">
        <w:t>L</w:t>
      </w:r>
      <w:r w:rsidRPr="00966720">
        <w:t xml:space="preserve">’article L. 6325-2 du code des transports prévoit que les usagers sont consultés par l’exploitant </w:t>
      </w:r>
      <w:r w:rsidRPr="00E357AD">
        <w:t xml:space="preserve">de l’aéroport quatre ans après le début du contrat </w:t>
      </w:r>
      <w:r w:rsidRPr="00966720">
        <w:t xml:space="preserve">sur </w:t>
      </w:r>
      <w:r w:rsidRPr="00E357AD">
        <w:t>« </w:t>
      </w:r>
      <w:r w:rsidRPr="00E357AD">
        <w:rPr>
          <w:i/>
          <w:iCs/>
        </w:rPr>
        <w:t xml:space="preserve">les évolutions du projet industriel, les écarts observés par rapport aux prévisions initiales du contrat et les ajustements réalisés en application des stipulations de ce dernier » et </w:t>
      </w:r>
      <w:r w:rsidR="003E20FA">
        <w:rPr>
          <w:i/>
          <w:iCs/>
        </w:rPr>
        <w:t>« </w:t>
      </w:r>
      <w:r w:rsidRPr="00E357AD">
        <w:rPr>
          <w:i/>
          <w:iCs/>
        </w:rPr>
        <w:t>avant que l’Autorité ne se prononce sur la poursuite de l’exécution du contrat</w:t>
      </w:r>
      <w:r w:rsidR="00595CCF">
        <w:rPr>
          <w:i/>
          <w:iCs/>
        </w:rPr>
        <w:t> »</w:t>
      </w:r>
      <w:r w:rsidRPr="00E357AD">
        <w:rPr>
          <w:i/>
          <w:iCs/>
        </w:rPr>
        <w:t xml:space="preserve">. </w:t>
      </w:r>
      <w:r w:rsidRPr="004D13A9">
        <w:t>Le même article précise qu</w:t>
      </w:r>
      <w:r w:rsidR="00595CCF">
        <w:t>’</w:t>
      </w:r>
      <w:r w:rsidRPr="00E357AD">
        <w:rPr>
          <w:i/>
          <w:iCs/>
        </w:rPr>
        <w:t xml:space="preserve">« en cas de modification substantielle par rapport aux éléments prévisionnels du contrat ou du projet industriel et </w:t>
      </w:r>
      <w:r w:rsidRPr="00E357AD">
        <w:rPr>
          <w:i/>
          <w:iCs/>
          <w:u w:val="single"/>
        </w:rPr>
        <w:t>au vu des avis émis par les usagers</w:t>
      </w:r>
      <w:r w:rsidRPr="00E357AD">
        <w:rPr>
          <w:i/>
          <w:iCs/>
        </w:rPr>
        <w:t xml:space="preserve"> et par l’Autorité de régulation des transports, l’</w:t>
      </w:r>
      <w:r w:rsidR="00F147DE" w:rsidRPr="00E357AD">
        <w:rPr>
          <w:i/>
          <w:iCs/>
        </w:rPr>
        <w:t>État</w:t>
      </w:r>
      <w:r w:rsidRPr="00E357AD">
        <w:rPr>
          <w:i/>
          <w:iCs/>
        </w:rPr>
        <w:t xml:space="preserve"> et l’exploitant de l’aérodrome procèdent à la révision ou à la résiliation anticipée du contrat</w:t>
      </w:r>
      <w:r w:rsidRPr="00E357AD">
        <w:t xml:space="preserve"> » (soulignement ajouté). </w:t>
      </w:r>
    </w:p>
    <w:p w14:paraId="1475C0C9" w14:textId="527F86A2" w:rsidR="005476A3" w:rsidRDefault="00BF1965">
      <w:pPr>
        <w:keepLines/>
      </w:pPr>
      <w:r w:rsidRPr="00E357AD">
        <w:t xml:space="preserve">Il s’ensuit que </w:t>
      </w:r>
      <w:r>
        <w:t>l</w:t>
      </w:r>
      <w:r w:rsidRPr="00966720">
        <w:t xml:space="preserve">’avis rendu par les usagers </w:t>
      </w:r>
      <w:r w:rsidR="005476A3">
        <w:t xml:space="preserve">est à même d’apporter à l’Autorité un éclairage complémentaire et indispensable </w:t>
      </w:r>
      <w:r>
        <w:t xml:space="preserve">sur (i) l’existence de modifications substantielles par rapport aux éléments prévisionnels du contrat ou du projet industriel et (ii) les éventuelles modifications du contrat qui seraient nécessaires pour rétablir, le cas échéant, son équilibre économique. </w:t>
      </w:r>
      <w:r w:rsidR="005476A3" w:rsidRPr="005476A3">
        <w:t>Par conséquent, l’Autorité ne devrait être saisie pour avis conforme qu’une fois le procès-verbal de la consultation des usagers établi.</w:t>
      </w:r>
    </w:p>
    <w:p w14:paraId="11EE0273" w14:textId="643DC242" w:rsidR="00BF1965" w:rsidRPr="00966720" w:rsidRDefault="005476A3" w:rsidP="00E617F1">
      <w:pPr>
        <w:keepLines/>
      </w:pPr>
      <w:r>
        <w:lastRenderedPageBreak/>
        <w:t xml:space="preserve">Par ailleurs, et compte tenu de ce qui précède, l’Autorité sera vigilante à ce </w:t>
      </w:r>
      <w:r w:rsidR="00F851F0">
        <w:t xml:space="preserve">que </w:t>
      </w:r>
      <w:r>
        <w:t xml:space="preserve">les conditions de leur consultation assurent </w:t>
      </w:r>
      <w:r w:rsidR="0051144C">
        <w:t xml:space="preserve">le </w:t>
      </w:r>
      <w:r>
        <w:t>caractère effectif</w:t>
      </w:r>
      <w:r w:rsidR="0051144C">
        <w:t xml:space="preserve"> de cette dernière</w:t>
      </w:r>
      <w:r>
        <w:t xml:space="preserve">. Afin de pouvoir se prononcer de façon éclairée, </w:t>
      </w:r>
      <w:r w:rsidR="003E20FA">
        <w:t>les usagers devront disposer d’une information claire et complète leur permettant d’apprécier les évolutions du projet industriel, les écarts observés par rapport aux prévisions initiales du contrat et les ajustements réalisés en application des stipulations du contrat</w:t>
      </w:r>
      <w:r w:rsidR="005C5900">
        <w:t>.</w:t>
      </w:r>
    </w:p>
    <w:p w14:paraId="44656707" w14:textId="7CB2BD9F" w:rsidR="00E25C88" w:rsidRPr="00BD10C0" w:rsidRDefault="008D561F" w:rsidP="00BD10C0">
      <w:pPr>
        <w:rPr>
          <w:b/>
          <w:bCs/>
        </w:rPr>
      </w:pPr>
      <w:r w:rsidRPr="00BD10C0">
        <w:rPr>
          <w:b/>
          <w:bCs/>
        </w:rPr>
        <w:t>Question n°7 : les orientations de l'Autorité relatives à la consultation préalable des usagers — en particulier sa saisine pour avis conforme une fois établi le procès-verbal de cette consultation et les exigences tenant au caractère effectif de celle-ci — appellent-elles des observations de votre part ?</w:t>
      </w:r>
    </w:p>
    <w:sectPr w:rsidR="00E25C88" w:rsidRPr="00BD10C0" w:rsidSect="00901DFA">
      <w:headerReference w:type="even" r:id="rId10"/>
      <w:footerReference w:type="default" r:id="rId11"/>
      <w:headerReference w:type="first" r:id="rId12"/>
      <w:footerReference w:type="first" r:id="rId13"/>
      <w:pgSz w:w="11906" w:h="16838"/>
      <w:pgMar w:top="1838" w:right="1077" w:bottom="1474" w:left="1559" w:header="709" w:footer="32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D398B" w14:textId="77777777" w:rsidR="00374102" w:rsidRDefault="00374102" w:rsidP="00FC7E86">
      <w:pPr>
        <w:spacing w:before="0" w:after="0"/>
      </w:pPr>
      <w:r>
        <w:separator/>
      </w:r>
    </w:p>
  </w:endnote>
  <w:endnote w:type="continuationSeparator" w:id="0">
    <w:p w14:paraId="5909F991" w14:textId="77777777" w:rsidR="00374102" w:rsidRDefault="00374102" w:rsidP="00FC7E8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panose1 w:val="00000000000000000000"/>
    <w:charset w:val="00"/>
    <w:family w:val="auto"/>
    <w:pitch w:val="variable"/>
    <w:sig w:usb0="E00002EF" w:usb1="5000205B" w:usb2="00000020" w:usb3="00000000" w:csb0="0000019F" w:csb1="00000000"/>
  </w:font>
  <w:font w:name="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Roboto Medium">
    <w:panose1 w:val="00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Calibri">
    <w:panose1 w:val="020F0502020204030204"/>
    <w:charset w:val="00"/>
    <w:family w:val="swiss"/>
    <w:pitch w:val="variable"/>
    <w:sig w:usb0="E4002EFF" w:usb1="C000247B" w:usb2="00000009" w:usb3="00000000" w:csb0="000001FF" w:csb1="00000000"/>
  </w:font>
  <w:font w:name="Roboto Light">
    <w:panose1 w:val="00000000000000000000"/>
    <w:charset w:val="00"/>
    <w:family w:val="auto"/>
    <w:pitch w:val="variable"/>
    <w:sig w:usb0="E0000AFF" w:usb1="5000217F" w:usb2="00000021" w:usb3="00000000" w:csb0="0000019F" w:csb1="00000000"/>
  </w:font>
  <w:font w:name="Roboto Bold Condensed">
    <w:panose1 w:val="00000000000000000000"/>
    <w:charset w:val="00"/>
    <w:family w:val="auto"/>
    <w:pitch w:val="variable"/>
    <w:sig w:usb0="E00002EF" w:usb1="5000205B" w:usb2="00000020" w:usb3="00000000" w:csb0="0000019F" w:csb1="00000000"/>
  </w:font>
  <w:font w:name="Roboto Thin">
    <w:panose1 w:val="00000000000000000000"/>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Roboto Lt">
    <w:panose1 w:val="00000000000000000000"/>
    <w:charset w:val="00"/>
    <w:family w:val="auto"/>
    <w:pitch w:val="variable"/>
    <w:sig w:usb0="E00002E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1FDB7" w14:textId="77777777" w:rsidR="00AB226A" w:rsidRPr="00024ED3" w:rsidRDefault="00AB226A" w:rsidP="00AB226A">
    <w:pPr>
      <w:pStyle w:val="Pieddepage"/>
      <w:spacing w:before="0" w:after="0"/>
      <w:ind w:left="142"/>
      <w:rPr>
        <w:rFonts w:eastAsia="Roboto Lt" w:hAnsi="Roboto Lt" w:cs="Roboto Lt"/>
        <w:b/>
        <w:color w:val="000000" w:themeColor="text1"/>
        <w:sz w:val="16"/>
        <w:szCs w:val="22"/>
        <w:lang w:bidi="fr-FR"/>
      </w:rPr>
    </w:pPr>
  </w:p>
  <w:p w14:paraId="0B1F0237" w14:textId="77777777" w:rsidR="00E67B00" w:rsidRPr="002679EA" w:rsidRDefault="00AB226A" w:rsidP="00AB226A">
    <w:pPr>
      <w:pStyle w:val="Pieddepage"/>
      <w:spacing w:before="0" w:after="0"/>
      <w:ind w:left="142"/>
      <w:rPr>
        <w:rFonts w:eastAsia="Franklin Gothic Book"/>
        <w:sz w:val="16"/>
        <w:szCs w:val="16"/>
      </w:rPr>
    </w:pPr>
    <w:r w:rsidRPr="002679EA">
      <w:rPr>
        <w:rFonts w:eastAsia="Roboto Lt" w:cs="Roboto Lt"/>
        <w:b/>
        <w:color w:val="223C75"/>
        <w:sz w:val="16"/>
        <w:szCs w:val="22"/>
        <w:lang w:bidi="fr-FR"/>
      </w:rPr>
      <w:t xml:space="preserve">autorite-transports.fr                                                                                                                                                                              </w:t>
    </w:r>
    <w:r w:rsidRPr="002679EA">
      <w:rPr>
        <w:rFonts w:eastAsia="Roboto Lt" w:cs="Roboto Lt"/>
        <w:b/>
        <w:color w:val="223C75"/>
        <w:sz w:val="16"/>
        <w:szCs w:val="22"/>
        <w:lang w:bidi="fr-FR"/>
      </w:rPr>
      <w:tab/>
    </w:r>
    <w:r w:rsidRPr="002679EA">
      <w:rPr>
        <w:rFonts w:eastAsia="Franklin Gothic Book"/>
        <w:sz w:val="16"/>
        <w:szCs w:val="16"/>
      </w:rPr>
      <w:fldChar w:fldCharType="begin"/>
    </w:r>
    <w:r w:rsidRPr="002679EA">
      <w:rPr>
        <w:rFonts w:eastAsia="Franklin Gothic Book"/>
        <w:sz w:val="16"/>
        <w:szCs w:val="16"/>
      </w:rPr>
      <w:instrText>PAGE  \* Arabic  \* MERGEFORMAT</w:instrText>
    </w:r>
    <w:r w:rsidRPr="002679EA">
      <w:rPr>
        <w:rFonts w:eastAsia="Franklin Gothic Book"/>
        <w:sz w:val="16"/>
        <w:szCs w:val="16"/>
      </w:rPr>
      <w:fldChar w:fldCharType="separate"/>
    </w:r>
    <w:r w:rsidRPr="002679EA">
      <w:rPr>
        <w:rFonts w:eastAsia="Franklin Gothic Book"/>
        <w:sz w:val="16"/>
        <w:szCs w:val="16"/>
      </w:rPr>
      <w:t>1</w:t>
    </w:r>
    <w:r w:rsidRPr="002679EA">
      <w:rPr>
        <w:rFonts w:eastAsia="Franklin Gothic Book"/>
        <w:sz w:val="16"/>
        <w:szCs w:val="16"/>
      </w:rPr>
      <w:fldChar w:fldCharType="end"/>
    </w:r>
    <w:r w:rsidRPr="002679EA">
      <w:rPr>
        <w:rFonts w:eastAsia="Franklin Gothic Book"/>
        <w:sz w:val="16"/>
        <w:szCs w:val="16"/>
      </w:rPr>
      <w:t xml:space="preserve"> / </w:t>
    </w:r>
    <w:r w:rsidRPr="002679EA">
      <w:rPr>
        <w:rFonts w:eastAsia="Franklin Gothic Book"/>
        <w:sz w:val="16"/>
        <w:szCs w:val="16"/>
      </w:rPr>
      <w:fldChar w:fldCharType="begin"/>
    </w:r>
    <w:r w:rsidRPr="002679EA">
      <w:rPr>
        <w:rFonts w:eastAsia="Franklin Gothic Book"/>
        <w:sz w:val="16"/>
        <w:szCs w:val="16"/>
      </w:rPr>
      <w:instrText>NUMPAGES  \* Arabic  \* MERGEFORMAT</w:instrText>
    </w:r>
    <w:r w:rsidRPr="002679EA">
      <w:rPr>
        <w:rFonts w:eastAsia="Franklin Gothic Book"/>
        <w:sz w:val="16"/>
        <w:szCs w:val="16"/>
      </w:rPr>
      <w:fldChar w:fldCharType="separate"/>
    </w:r>
    <w:r w:rsidRPr="002679EA">
      <w:rPr>
        <w:rFonts w:eastAsia="Franklin Gothic Book"/>
        <w:sz w:val="16"/>
        <w:szCs w:val="16"/>
      </w:rPr>
      <w:t>7</w:t>
    </w:r>
    <w:r w:rsidRPr="002679EA">
      <w:rPr>
        <w:rFonts w:eastAsia="Franklin Gothic Book"/>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97A81" w14:textId="77777777" w:rsidR="003B4E7C" w:rsidRPr="00024ED3" w:rsidRDefault="00605BEB" w:rsidP="003B4E7C">
    <w:pPr>
      <w:pStyle w:val="Pieddepage"/>
      <w:spacing w:before="0" w:after="0"/>
      <w:ind w:left="142"/>
      <w:rPr>
        <w:rFonts w:eastAsia="Roboto Lt" w:cs="Roboto Lt"/>
        <w:color w:val="000000" w:themeColor="text1"/>
        <w:sz w:val="16"/>
        <w:szCs w:val="22"/>
        <w:lang w:bidi="fr-FR"/>
      </w:rPr>
    </w:pPr>
    <w:r w:rsidRPr="000C6645">
      <w:rPr>
        <w:rFonts w:eastAsia="Roboto Lt" w:cs="Roboto Lt"/>
        <w:color w:val="000000" w:themeColor="text1"/>
        <w:sz w:val="16"/>
        <w:szCs w:val="22"/>
        <w:lang w:bidi="fr-FR"/>
      </w:rPr>
      <w:t xml:space="preserve">11 Place des </w:t>
    </w:r>
    <w:r w:rsidR="00997DE0">
      <w:rPr>
        <w:rFonts w:eastAsia="Roboto Lt" w:cs="Roboto Lt"/>
        <w:color w:val="000000" w:themeColor="text1"/>
        <w:sz w:val="16"/>
        <w:szCs w:val="22"/>
        <w:lang w:bidi="fr-FR"/>
      </w:rPr>
      <w:t>Cinq</w:t>
    </w:r>
    <w:r w:rsidRPr="000C6645">
      <w:rPr>
        <w:rFonts w:eastAsia="Roboto Lt" w:cs="Roboto Lt"/>
        <w:color w:val="000000" w:themeColor="text1"/>
        <w:sz w:val="16"/>
        <w:szCs w:val="22"/>
        <w:lang w:bidi="fr-FR"/>
      </w:rPr>
      <w:t xml:space="preserve"> Martyrs du Lycée Buffon - CS 30054 - 75675 Paris Cedex 14</w:t>
    </w:r>
    <w:r w:rsidRPr="00024ED3">
      <w:rPr>
        <w:rFonts w:eastAsia="Roboto Lt" w:cs="Roboto Lt"/>
        <w:color w:val="000000" w:themeColor="text1"/>
        <w:sz w:val="16"/>
        <w:szCs w:val="22"/>
        <w:lang w:bidi="fr-FR"/>
      </w:rPr>
      <w:t xml:space="preserve"> – T</w:t>
    </w:r>
    <w:r>
      <w:rPr>
        <w:rFonts w:eastAsia="Roboto Lt" w:cs="Roboto Lt"/>
        <w:color w:val="000000" w:themeColor="text1"/>
        <w:sz w:val="16"/>
        <w:szCs w:val="22"/>
        <w:lang w:bidi="fr-FR"/>
      </w:rPr>
      <w:t>é</w:t>
    </w:r>
    <w:r w:rsidRPr="00024ED3">
      <w:rPr>
        <w:rFonts w:eastAsia="Roboto Lt" w:cs="Roboto Lt"/>
        <w:color w:val="000000" w:themeColor="text1"/>
        <w:sz w:val="16"/>
        <w:szCs w:val="22"/>
        <w:lang w:bidi="fr-FR"/>
      </w:rPr>
      <w:t>l. +33 (0)1 58 01 01 10</w:t>
    </w:r>
  </w:p>
  <w:p w14:paraId="4B3DA63E" w14:textId="77777777" w:rsidR="003B4E7C" w:rsidRPr="00024ED3" w:rsidRDefault="003B4E7C" w:rsidP="003B4E7C">
    <w:pPr>
      <w:pStyle w:val="Pieddepage"/>
      <w:spacing w:before="0" w:after="0"/>
      <w:ind w:left="142"/>
      <w:rPr>
        <w:rFonts w:eastAsia="Roboto Lt" w:hAnsi="Roboto Lt" w:cs="Roboto Lt"/>
        <w:b/>
        <w:color w:val="000000" w:themeColor="text1"/>
        <w:sz w:val="16"/>
        <w:szCs w:val="22"/>
        <w:lang w:bidi="fr-FR"/>
      </w:rPr>
    </w:pPr>
  </w:p>
  <w:p w14:paraId="171F815A" w14:textId="77777777" w:rsidR="00E67B00" w:rsidRPr="003B4E7C" w:rsidRDefault="003B4E7C" w:rsidP="003B4E7C">
    <w:pPr>
      <w:pStyle w:val="Pieddepage"/>
      <w:spacing w:before="0" w:after="0"/>
      <w:ind w:left="142"/>
      <w:rPr>
        <w:rFonts w:ascii="Franklin Gothic Book" w:eastAsia="Franklin Gothic Book" w:hAnsi="Franklin Gothic Book"/>
        <w:sz w:val="16"/>
        <w:szCs w:val="16"/>
      </w:rPr>
    </w:pPr>
    <w:r w:rsidRPr="00E92107">
      <w:rPr>
        <w:rFonts w:eastAsia="Roboto Lt" w:hAnsi="Roboto Lt" w:cs="Roboto Lt"/>
        <w:b/>
        <w:color w:val="223C75"/>
        <w:sz w:val="16"/>
        <w:szCs w:val="22"/>
        <w:lang w:bidi="fr-FR"/>
      </w:rPr>
      <w:t xml:space="preserve">autorite-transports.fr                                                                                 </w:t>
    </w:r>
    <w:r>
      <w:rPr>
        <w:rFonts w:eastAsia="Roboto Lt" w:hAnsi="Roboto Lt" w:cs="Roboto Lt"/>
        <w:b/>
        <w:color w:val="223C75"/>
        <w:sz w:val="16"/>
        <w:szCs w:val="22"/>
        <w:lang w:bidi="fr-FR"/>
      </w:rPr>
      <w:t xml:space="preserve">     </w:t>
    </w:r>
    <w:r w:rsidRPr="00E92107">
      <w:rPr>
        <w:rFonts w:eastAsia="Roboto Lt" w:hAnsi="Roboto Lt" w:cs="Roboto Lt"/>
        <w:b/>
        <w:color w:val="223C75"/>
        <w:sz w:val="16"/>
        <w:szCs w:val="22"/>
        <w:lang w:bidi="fr-FR"/>
      </w:rPr>
      <w:t xml:space="preserve">                                                          </w:t>
    </w:r>
    <w:r>
      <w:rPr>
        <w:rFonts w:eastAsia="Roboto Lt" w:hAnsi="Roboto Lt" w:cs="Roboto Lt"/>
        <w:b/>
        <w:color w:val="223C75"/>
        <w:sz w:val="16"/>
        <w:szCs w:val="22"/>
        <w:lang w:bidi="fr-FR"/>
      </w:rPr>
      <w:t xml:space="preserve">                              </w:t>
    </w:r>
    <w:r>
      <w:rPr>
        <w:rFonts w:eastAsia="Roboto Lt" w:hAnsi="Roboto Lt" w:cs="Roboto Lt"/>
        <w:b/>
        <w:color w:val="223C75"/>
        <w:sz w:val="16"/>
        <w:szCs w:val="22"/>
        <w:lang w:bidi="fr-FR"/>
      </w:rPr>
      <w:tab/>
    </w:r>
    <w:r w:rsidRPr="00E92107">
      <w:rPr>
        <w:rFonts w:ascii="Franklin Gothic Book" w:eastAsia="Franklin Gothic Book" w:hAnsi="Franklin Gothic Book"/>
        <w:sz w:val="16"/>
        <w:szCs w:val="16"/>
      </w:rPr>
      <w:fldChar w:fldCharType="begin"/>
    </w:r>
    <w:r w:rsidRPr="00E92107">
      <w:rPr>
        <w:rFonts w:ascii="Franklin Gothic Book" w:eastAsia="Franklin Gothic Book" w:hAnsi="Franklin Gothic Book"/>
        <w:sz w:val="16"/>
        <w:szCs w:val="16"/>
      </w:rPr>
      <w:instrText>PAGE  \* Arabic  \* MERGEFORMAT</w:instrText>
    </w:r>
    <w:r w:rsidRPr="00E92107">
      <w:rPr>
        <w:rFonts w:ascii="Franklin Gothic Book" w:eastAsia="Franklin Gothic Book" w:hAnsi="Franklin Gothic Book"/>
        <w:sz w:val="16"/>
        <w:szCs w:val="16"/>
      </w:rPr>
      <w:fldChar w:fldCharType="separate"/>
    </w:r>
    <w:r>
      <w:rPr>
        <w:rFonts w:ascii="Franklin Gothic Book" w:eastAsia="Franklin Gothic Book" w:hAnsi="Franklin Gothic Book"/>
        <w:sz w:val="16"/>
        <w:szCs w:val="16"/>
      </w:rPr>
      <w:t>1</w:t>
    </w:r>
    <w:r w:rsidRPr="00E92107">
      <w:rPr>
        <w:rFonts w:ascii="Franklin Gothic Book" w:eastAsia="Franklin Gothic Book" w:hAnsi="Franklin Gothic Book"/>
        <w:sz w:val="16"/>
        <w:szCs w:val="16"/>
      </w:rPr>
      <w:fldChar w:fldCharType="end"/>
    </w:r>
    <w:r w:rsidRPr="00E92107">
      <w:rPr>
        <w:rFonts w:ascii="Franklin Gothic Book" w:eastAsia="Franklin Gothic Book" w:hAnsi="Franklin Gothic Book"/>
        <w:sz w:val="16"/>
        <w:szCs w:val="16"/>
      </w:rPr>
      <w:t xml:space="preserve"> / </w:t>
    </w:r>
    <w:r w:rsidRPr="00E92107">
      <w:rPr>
        <w:rFonts w:ascii="Franklin Gothic Book" w:eastAsia="Franklin Gothic Book" w:hAnsi="Franklin Gothic Book"/>
        <w:sz w:val="16"/>
        <w:szCs w:val="16"/>
      </w:rPr>
      <w:fldChar w:fldCharType="begin"/>
    </w:r>
    <w:r w:rsidRPr="00E92107">
      <w:rPr>
        <w:rFonts w:ascii="Franklin Gothic Book" w:eastAsia="Franklin Gothic Book" w:hAnsi="Franklin Gothic Book"/>
        <w:sz w:val="16"/>
        <w:szCs w:val="16"/>
      </w:rPr>
      <w:instrText>NUMPAGES  \* Arabic  \* MERGEFORMAT</w:instrText>
    </w:r>
    <w:r w:rsidRPr="00E92107">
      <w:rPr>
        <w:rFonts w:ascii="Franklin Gothic Book" w:eastAsia="Franklin Gothic Book" w:hAnsi="Franklin Gothic Book"/>
        <w:sz w:val="16"/>
        <w:szCs w:val="16"/>
      </w:rPr>
      <w:fldChar w:fldCharType="separate"/>
    </w:r>
    <w:r>
      <w:rPr>
        <w:rFonts w:ascii="Franklin Gothic Book" w:eastAsia="Franklin Gothic Book" w:hAnsi="Franklin Gothic Book"/>
        <w:sz w:val="16"/>
        <w:szCs w:val="16"/>
      </w:rPr>
      <w:t>2</w:t>
    </w:r>
    <w:r w:rsidRPr="00E92107">
      <w:rPr>
        <w:rFonts w:ascii="Franklin Gothic Book" w:eastAsia="Franklin Gothic Book" w:hAnsi="Franklin Gothic Book"/>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9F2EF" w14:textId="77777777" w:rsidR="00374102" w:rsidRDefault="00374102" w:rsidP="00FC7E86">
      <w:pPr>
        <w:spacing w:before="0" w:after="0"/>
      </w:pPr>
      <w:r>
        <w:separator/>
      </w:r>
    </w:p>
  </w:footnote>
  <w:footnote w:type="continuationSeparator" w:id="0">
    <w:p w14:paraId="6B61F581" w14:textId="77777777" w:rsidR="00374102" w:rsidRDefault="00374102" w:rsidP="00FC7E86">
      <w:pPr>
        <w:spacing w:before="0" w:after="0"/>
      </w:pPr>
      <w:r>
        <w:continuationSeparator/>
      </w:r>
    </w:p>
  </w:footnote>
  <w:footnote w:id="1">
    <w:p w14:paraId="7E90D8AE" w14:textId="75E1815A" w:rsidR="000724B5" w:rsidRDefault="000724B5">
      <w:pPr>
        <w:pStyle w:val="Notedebasdepage"/>
      </w:pPr>
      <w:r>
        <w:rPr>
          <w:rStyle w:val="Appelnotedebasdep"/>
        </w:rPr>
        <w:footnoteRef/>
      </w:r>
      <w:r>
        <w:t xml:space="preserve"> </w:t>
      </w:r>
      <w:r w:rsidRPr="000724B5">
        <w:t xml:space="preserve">Le modèle de régulation en « </w:t>
      </w:r>
      <w:proofErr w:type="spellStart"/>
      <w:r w:rsidRPr="008C4698">
        <w:rPr>
          <w:i/>
          <w:iCs/>
        </w:rPr>
        <w:t>price</w:t>
      </w:r>
      <w:proofErr w:type="spellEnd"/>
      <w:r w:rsidRPr="008C4698">
        <w:rPr>
          <w:i/>
          <w:iCs/>
        </w:rPr>
        <w:t>-cap</w:t>
      </w:r>
      <w:r w:rsidRPr="000724B5">
        <w:t xml:space="preserve"> » consiste à fixer sur plusieurs années un prix plafond, ou un niveau maximum de recettes. </w:t>
      </w:r>
    </w:p>
  </w:footnote>
  <w:footnote w:id="2">
    <w:p w14:paraId="1340FD32" w14:textId="258E85AA" w:rsidR="00DF2CB8" w:rsidRDefault="00DF2CB8">
      <w:pPr>
        <w:pStyle w:val="Notedebasdepage"/>
      </w:pPr>
      <w:r>
        <w:rPr>
          <w:rStyle w:val="Appelnotedebasdep"/>
        </w:rPr>
        <w:footnoteRef/>
      </w:r>
      <w:r>
        <w:t xml:space="preserve"> 2° de l’article L. 6325-2 du code des transports.</w:t>
      </w:r>
    </w:p>
  </w:footnote>
  <w:footnote w:id="3">
    <w:p w14:paraId="4DF62102" w14:textId="0E1C1773" w:rsidR="00DF2CB8" w:rsidRDefault="00DF2CB8">
      <w:pPr>
        <w:pStyle w:val="Notedebasdepage"/>
      </w:pPr>
      <w:r>
        <w:rPr>
          <w:rStyle w:val="Appelnotedebasdep"/>
        </w:rPr>
        <w:footnoteRef/>
      </w:r>
      <w:r>
        <w:t xml:space="preserve"> </w:t>
      </w:r>
      <w:r w:rsidR="008A3F5D">
        <w:t>I</w:t>
      </w:r>
      <w:r>
        <w:t>I</w:t>
      </w:r>
      <w:r w:rsidR="00600F78">
        <w:t>I</w:t>
      </w:r>
      <w:r>
        <w:t xml:space="preserve"> de l’article L. 6327-3 du code des transports.</w:t>
      </w:r>
    </w:p>
  </w:footnote>
  <w:footnote w:id="4">
    <w:p w14:paraId="715DF4C7" w14:textId="159977AE" w:rsidR="00E357AD" w:rsidRDefault="00E357AD">
      <w:pPr>
        <w:pStyle w:val="Notedebasdepage"/>
      </w:pPr>
      <w:r>
        <w:rPr>
          <w:rStyle w:val="Appelnotedebasdep"/>
        </w:rPr>
        <w:footnoteRef/>
      </w:r>
      <w:r>
        <w:t xml:space="preserve"> </w:t>
      </w:r>
      <w:r w:rsidRPr="0018062E">
        <w:t>Rapport n° 401 de la Commission du développement durable et de l’aménagement du territoire du Sénat sur la loi n° 2025-391</w:t>
      </w:r>
      <w:r w:rsidRPr="0018062E">
        <w:rPr>
          <w:sz w:val="20"/>
        </w:rPr>
        <w:t xml:space="preserve"> </w:t>
      </w:r>
      <w:r w:rsidRPr="0018062E">
        <w:t>du 30 avril 2025 enregistré le 5 mars 2025</w:t>
      </w:r>
      <w:r>
        <w:t>.</w:t>
      </w:r>
    </w:p>
  </w:footnote>
  <w:footnote w:id="5">
    <w:p w14:paraId="7F734EBC" w14:textId="397DEB47" w:rsidR="00E357AD" w:rsidRDefault="00E357AD">
      <w:pPr>
        <w:pStyle w:val="Notedebasdepage"/>
      </w:pPr>
      <w:r>
        <w:rPr>
          <w:rStyle w:val="Appelnotedebasdep"/>
        </w:rPr>
        <w:footnoteRef/>
      </w:r>
      <w:r>
        <w:t xml:space="preserve"> Point 63 de l’avis n° 2026-030 du 9 avril 2026</w:t>
      </w:r>
      <w:r w:rsidR="0044358F">
        <w:t> :</w:t>
      </w:r>
      <w:r>
        <w:t xml:space="preserve"> </w:t>
      </w:r>
      <w:r w:rsidRPr="001B4E37">
        <w:t>«</w:t>
      </w:r>
      <w:r>
        <w:t> </w:t>
      </w:r>
      <w:r w:rsidRPr="00F90707">
        <w:rPr>
          <w:i/>
          <w:iCs/>
        </w:rPr>
        <w:t>Afin de donner de la visibilité sur les conditions dans lesquelles elle se prononcera, au cours de la quatrième année du CRE, sur la poursuite de son exécution au-delà de cinq ans, l’Autorité engagera prochainement une consultation publique à ce sujet et précisera, dans des lignes directrices, d’ici sa saisine pour avis conforme sur le projet de CRE, la méthodologie dont elle fera application</w:t>
      </w:r>
      <w:r w:rsidRPr="001B4E37">
        <w:t xml:space="preserve"> ».</w:t>
      </w:r>
    </w:p>
  </w:footnote>
  <w:footnote w:id="6">
    <w:p w14:paraId="07313E3C" w14:textId="1B653817" w:rsidR="007813BA" w:rsidRDefault="007813BA" w:rsidP="007813BA">
      <w:pPr>
        <w:pStyle w:val="Notedebasdepage"/>
      </w:pPr>
      <w:r>
        <w:rPr>
          <w:rStyle w:val="Appelnotedebasdep"/>
        </w:rPr>
        <w:footnoteRef/>
      </w:r>
      <w:r>
        <w:t xml:space="preserve"> Voir conclusions P. </w:t>
      </w:r>
      <w:proofErr w:type="spellStart"/>
      <w:r>
        <w:t>Ranquet</w:t>
      </w:r>
      <w:proofErr w:type="spellEnd"/>
      <w:r>
        <w:t xml:space="preserve"> sous CE, 28 décembre 2021, </w:t>
      </w:r>
      <w:r w:rsidRPr="005D6AD7">
        <w:rPr>
          <w:i/>
          <w:iCs/>
        </w:rPr>
        <w:t xml:space="preserve">Société </w:t>
      </w:r>
      <w:r>
        <w:rPr>
          <w:i/>
          <w:iCs/>
        </w:rPr>
        <w:t>A</w:t>
      </w:r>
      <w:r w:rsidRPr="005D6AD7">
        <w:rPr>
          <w:i/>
          <w:iCs/>
        </w:rPr>
        <w:t>éroports de Lyon</w:t>
      </w:r>
      <w:r>
        <w:t xml:space="preserve">, </w:t>
      </w:r>
      <w:proofErr w:type="spellStart"/>
      <w:r>
        <w:t>req</w:t>
      </w:r>
      <w:proofErr w:type="spellEnd"/>
      <w:r>
        <w:t>. n°450025.</w:t>
      </w:r>
    </w:p>
  </w:footnote>
  <w:footnote w:id="7">
    <w:p w14:paraId="4ABE179E" w14:textId="418C55D8" w:rsidR="007813BA" w:rsidRDefault="007813BA">
      <w:pPr>
        <w:pStyle w:val="Notedebasdepage"/>
      </w:pPr>
      <w:r>
        <w:rPr>
          <w:rStyle w:val="Appelnotedebasdep"/>
        </w:rPr>
        <w:footnoteRef/>
      </w:r>
      <w:r>
        <w:t xml:space="preserve"> Voir à cet égard, CE, 10 juillet 2025, </w:t>
      </w:r>
      <w:r w:rsidRPr="005D6AD7">
        <w:rPr>
          <w:i/>
          <w:iCs/>
        </w:rPr>
        <w:t xml:space="preserve">Société </w:t>
      </w:r>
      <w:r>
        <w:rPr>
          <w:i/>
          <w:iCs/>
        </w:rPr>
        <w:t>A</w:t>
      </w:r>
      <w:r w:rsidRPr="005D6AD7">
        <w:rPr>
          <w:i/>
          <w:iCs/>
        </w:rPr>
        <w:t>éroports de Lyon</w:t>
      </w:r>
      <w:r>
        <w:t xml:space="preserve">, </w:t>
      </w:r>
      <w:proofErr w:type="spellStart"/>
      <w:r>
        <w:t>req</w:t>
      </w:r>
      <w:proofErr w:type="spellEnd"/>
      <w:r>
        <w:t>. n°494869.</w:t>
      </w:r>
    </w:p>
  </w:footnote>
  <w:footnote w:id="8">
    <w:p w14:paraId="33832F17" w14:textId="33E63E51" w:rsidR="00124DDC" w:rsidRDefault="00124DDC" w:rsidP="00124DDC">
      <w:pPr>
        <w:pStyle w:val="Notedebasdepage"/>
      </w:pPr>
      <w:r>
        <w:rPr>
          <w:rStyle w:val="Appelnotedebasdep"/>
        </w:rPr>
        <w:footnoteRef/>
      </w:r>
      <w:r>
        <w:t xml:space="preserve"> Article L. 6327-3</w:t>
      </w:r>
      <w:r w:rsidR="00B85122">
        <w:t>, II</w:t>
      </w:r>
      <w:r>
        <w:t xml:space="preserve"> du code des transports. </w:t>
      </w:r>
    </w:p>
  </w:footnote>
  <w:footnote w:id="9">
    <w:p w14:paraId="0B76C60C" w14:textId="70135794" w:rsidR="001672C5" w:rsidRPr="001672C5" w:rsidRDefault="001672C5" w:rsidP="001672C5">
      <w:pPr>
        <w:pStyle w:val="Notedebasdepage"/>
      </w:pPr>
      <w:r>
        <w:rPr>
          <w:rStyle w:val="Appelnotedebasdep"/>
        </w:rPr>
        <w:footnoteRef/>
      </w:r>
      <w:r>
        <w:t xml:space="preserve"> Article L. 6327-3, III du code des transports</w:t>
      </w:r>
      <w:r w:rsidRPr="001672C5">
        <w:t>.</w:t>
      </w:r>
    </w:p>
    <w:p w14:paraId="5DFE6984" w14:textId="669876F9" w:rsidR="001672C5" w:rsidRDefault="001672C5">
      <w:pPr>
        <w:pStyle w:val="Notedebasdepag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428DB" w14:textId="5CE9BE2F" w:rsidR="009E3084" w:rsidRDefault="009E308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93C14" w14:textId="4F572315" w:rsidR="00E67B00" w:rsidRDefault="004A2F3B" w:rsidP="008425EC">
    <w:pPr>
      <w:pStyle w:val="En-tte"/>
      <w:ind w:hanging="1134"/>
    </w:pPr>
    <w:r>
      <w:rPr>
        <w:noProof/>
      </w:rPr>
      <w:drawing>
        <wp:anchor distT="0" distB="0" distL="114300" distR="114300" simplePos="0" relativeHeight="251658242" behindDoc="0" locked="0" layoutInCell="1" allowOverlap="1" wp14:anchorId="07CC596E" wp14:editId="458F74C2">
          <wp:simplePos x="0" y="0"/>
          <wp:positionH relativeFrom="column">
            <wp:posOffset>-1002665</wp:posOffset>
          </wp:positionH>
          <wp:positionV relativeFrom="paragraph">
            <wp:posOffset>-437514</wp:posOffset>
          </wp:positionV>
          <wp:extent cx="7559675" cy="890270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pier en-tete-1.png"/>
                  <pic:cNvPicPr/>
                </pic:nvPicPr>
                <pic:blipFill rotWithShape="1">
                  <a:blip r:embed="rId1">
                    <a:extLst>
                      <a:ext uri="{28A0092B-C50C-407E-A947-70E740481C1C}">
                        <a14:useLocalDpi xmlns:a14="http://schemas.microsoft.com/office/drawing/2010/main" val="0"/>
                      </a:ext>
                    </a:extLst>
                  </a:blip>
                  <a:srcRect b="16678"/>
                  <a:stretch/>
                </pic:blipFill>
                <pic:spPr bwMode="auto">
                  <a:xfrm>
                    <a:off x="0" y="0"/>
                    <a:ext cx="7560129" cy="89032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37846"/>
    <w:multiLevelType w:val="hybridMultilevel"/>
    <w:tmpl w:val="CD4C9C52"/>
    <w:lvl w:ilvl="0" w:tplc="A0542152">
      <w:numFmt w:val="bullet"/>
      <w:pStyle w:val="Paragraphenumrot"/>
      <w:lvlText w:val="-"/>
      <w:lvlJc w:val="left"/>
      <w:pPr>
        <w:ind w:left="720" w:hanging="360"/>
      </w:pPr>
      <w:rPr>
        <w:rFonts w:ascii="Roboto" w:eastAsiaTheme="minorHAnsi" w:hAnsi="Roboto"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4896F01"/>
    <w:multiLevelType w:val="hybridMultilevel"/>
    <w:tmpl w:val="0EA640CE"/>
    <w:lvl w:ilvl="0" w:tplc="81B44B24">
      <w:numFmt w:val="bullet"/>
      <w:lvlText w:val="-"/>
      <w:lvlJc w:val="left"/>
      <w:pPr>
        <w:ind w:left="720" w:hanging="360"/>
      </w:pPr>
      <w:rPr>
        <w:rFonts w:ascii="Roboto" w:eastAsiaTheme="minorHAnsi" w:hAnsi="Roboto"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90505EC"/>
    <w:multiLevelType w:val="hybridMultilevel"/>
    <w:tmpl w:val="BE264310"/>
    <w:lvl w:ilvl="0" w:tplc="C09E0276">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D6144DE"/>
    <w:multiLevelType w:val="hybridMultilevel"/>
    <w:tmpl w:val="FA88D344"/>
    <w:lvl w:ilvl="0" w:tplc="791A54DC">
      <w:start w:val="1"/>
      <w:numFmt w:val="bullet"/>
      <w:pStyle w:val="Listeavis"/>
      <w:lvlText w:val=""/>
      <w:lvlJc w:val="left"/>
      <w:pPr>
        <w:ind w:left="360" w:hanging="360"/>
      </w:pPr>
      <w:rPr>
        <w:rFonts w:ascii="Wingdings" w:hAnsi="Wingdings" w:hint="default"/>
        <w:color w:val="auto"/>
        <w:spacing w:val="20"/>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 w15:restartNumberingAfterBreak="0">
    <w:nsid w:val="29705B16"/>
    <w:multiLevelType w:val="hybridMultilevel"/>
    <w:tmpl w:val="29E000B2"/>
    <w:lvl w:ilvl="0" w:tplc="B4941080">
      <w:start w:val="1"/>
      <w:numFmt w:val="bullet"/>
      <w:pStyle w:val="Listeavectirets"/>
      <w:lvlText w:val="-"/>
      <w:lvlJc w:val="left"/>
      <w:pPr>
        <w:ind w:left="1287" w:hanging="360"/>
      </w:pPr>
      <w:rPr>
        <w:rFonts w:ascii="Franklin Gothic Book" w:hAnsi="Franklin Gothic Book" w:hint="default"/>
      </w:rPr>
    </w:lvl>
    <w:lvl w:ilvl="1" w:tplc="040C0003">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5" w15:restartNumberingAfterBreak="0">
    <w:nsid w:val="299C70CC"/>
    <w:multiLevelType w:val="hybridMultilevel"/>
    <w:tmpl w:val="5C848B26"/>
    <w:lvl w:ilvl="0" w:tplc="AD18EC14">
      <w:start w:val="1"/>
      <w:numFmt w:val="bullet"/>
      <w:lvlText w:val="-"/>
      <w:lvlJc w:val="left"/>
      <w:pPr>
        <w:ind w:left="720" w:hanging="360"/>
      </w:pPr>
      <w:rPr>
        <w:rFonts w:ascii="Roboto" w:eastAsiaTheme="minorHAnsi" w:hAnsi="Roboto"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BD244B8"/>
    <w:multiLevelType w:val="hybridMultilevel"/>
    <w:tmpl w:val="1DEAEED2"/>
    <w:lvl w:ilvl="0" w:tplc="FD1010D6">
      <w:start w:val="5"/>
      <w:numFmt w:val="bullet"/>
      <w:lvlText w:val="-"/>
      <w:lvlJc w:val="left"/>
      <w:pPr>
        <w:ind w:left="720" w:hanging="360"/>
      </w:pPr>
      <w:rPr>
        <w:rFonts w:ascii="Aptos" w:eastAsiaTheme="minorHAnsi" w:hAnsi="Aptos" w:cstheme="minorBid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E5D7442"/>
    <w:multiLevelType w:val="hybridMultilevel"/>
    <w:tmpl w:val="75A600E0"/>
    <w:lvl w:ilvl="0" w:tplc="EF483F16">
      <w:numFmt w:val="bullet"/>
      <w:pStyle w:val="Listetirets"/>
      <w:lvlText w:val="-"/>
      <w:lvlJc w:val="left"/>
      <w:pPr>
        <w:ind w:left="720" w:hanging="360"/>
      </w:pPr>
      <w:rPr>
        <w:rFonts w:ascii="Franklin Gothic Book" w:eastAsiaTheme="minorHAnsi" w:hAnsi="Franklin Gothic Book"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18835A0"/>
    <w:multiLevelType w:val="hybridMultilevel"/>
    <w:tmpl w:val="112050C2"/>
    <w:lvl w:ilvl="0" w:tplc="ADA06A32">
      <w:start w:val="1"/>
      <w:numFmt w:val="bullet"/>
      <w:lvlText w:val=""/>
      <w:lvlJc w:val="left"/>
      <w:pPr>
        <w:ind w:left="720" w:hanging="360"/>
      </w:pPr>
      <w:rPr>
        <w:rFonts w:ascii="Symbol" w:hAnsi="Symbol"/>
      </w:rPr>
    </w:lvl>
    <w:lvl w:ilvl="1" w:tplc="791EE7C2">
      <w:start w:val="1"/>
      <w:numFmt w:val="bullet"/>
      <w:lvlText w:val=""/>
      <w:lvlJc w:val="left"/>
      <w:pPr>
        <w:ind w:left="720" w:hanging="360"/>
      </w:pPr>
      <w:rPr>
        <w:rFonts w:ascii="Symbol" w:hAnsi="Symbol"/>
      </w:rPr>
    </w:lvl>
    <w:lvl w:ilvl="2" w:tplc="93FA5CE6">
      <w:start w:val="1"/>
      <w:numFmt w:val="bullet"/>
      <w:lvlText w:val=""/>
      <w:lvlJc w:val="left"/>
      <w:pPr>
        <w:ind w:left="720" w:hanging="360"/>
      </w:pPr>
      <w:rPr>
        <w:rFonts w:ascii="Symbol" w:hAnsi="Symbol"/>
      </w:rPr>
    </w:lvl>
    <w:lvl w:ilvl="3" w:tplc="697A06C4">
      <w:start w:val="1"/>
      <w:numFmt w:val="bullet"/>
      <w:lvlText w:val=""/>
      <w:lvlJc w:val="left"/>
      <w:pPr>
        <w:ind w:left="720" w:hanging="360"/>
      </w:pPr>
      <w:rPr>
        <w:rFonts w:ascii="Symbol" w:hAnsi="Symbol"/>
      </w:rPr>
    </w:lvl>
    <w:lvl w:ilvl="4" w:tplc="EA569FEE">
      <w:start w:val="1"/>
      <w:numFmt w:val="bullet"/>
      <w:lvlText w:val=""/>
      <w:lvlJc w:val="left"/>
      <w:pPr>
        <w:ind w:left="720" w:hanging="360"/>
      </w:pPr>
      <w:rPr>
        <w:rFonts w:ascii="Symbol" w:hAnsi="Symbol"/>
      </w:rPr>
    </w:lvl>
    <w:lvl w:ilvl="5" w:tplc="EB1AF824">
      <w:start w:val="1"/>
      <w:numFmt w:val="bullet"/>
      <w:lvlText w:val=""/>
      <w:lvlJc w:val="left"/>
      <w:pPr>
        <w:ind w:left="720" w:hanging="360"/>
      </w:pPr>
      <w:rPr>
        <w:rFonts w:ascii="Symbol" w:hAnsi="Symbol"/>
      </w:rPr>
    </w:lvl>
    <w:lvl w:ilvl="6" w:tplc="40FA35A4">
      <w:start w:val="1"/>
      <w:numFmt w:val="bullet"/>
      <w:lvlText w:val=""/>
      <w:lvlJc w:val="left"/>
      <w:pPr>
        <w:ind w:left="720" w:hanging="360"/>
      </w:pPr>
      <w:rPr>
        <w:rFonts w:ascii="Symbol" w:hAnsi="Symbol"/>
      </w:rPr>
    </w:lvl>
    <w:lvl w:ilvl="7" w:tplc="3D7C399E">
      <w:start w:val="1"/>
      <w:numFmt w:val="bullet"/>
      <w:lvlText w:val=""/>
      <w:lvlJc w:val="left"/>
      <w:pPr>
        <w:ind w:left="720" w:hanging="360"/>
      </w:pPr>
      <w:rPr>
        <w:rFonts w:ascii="Symbol" w:hAnsi="Symbol"/>
      </w:rPr>
    </w:lvl>
    <w:lvl w:ilvl="8" w:tplc="C0F86566">
      <w:start w:val="1"/>
      <w:numFmt w:val="bullet"/>
      <w:lvlText w:val=""/>
      <w:lvlJc w:val="left"/>
      <w:pPr>
        <w:ind w:left="720" w:hanging="360"/>
      </w:pPr>
      <w:rPr>
        <w:rFonts w:ascii="Symbol" w:hAnsi="Symbol"/>
      </w:rPr>
    </w:lvl>
  </w:abstractNum>
  <w:abstractNum w:abstractNumId="9" w15:restartNumberingAfterBreak="0">
    <w:nsid w:val="42BE267F"/>
    <w:multiLevelType w:val="hybridMultilevel"/>
    <w:tmpl w:val="17268640"/>
    <w:lvl w:ilvl="0" w:tplc="590A6860">
      <w:start w:val="1"/>
      <w:numFmt w:val="bullet"/>
      <w:pStyle w:val="puce"/>
      <w:lvlText w:val=""/>
      <w:lvlJc w:val="left"/>
      <w:pPr>
        <w:ind w:left="720" w:hanging="360"/>
      </w:pPr>
      <w:rPr>
        <w:rFonts w:ascii="Wingdings" w:hAnsi="Wingdings" w:hint="default"/>
        <w:color w:val="CBCAC8" w:themeColor="background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FEE2367"/>
    <w:multiLevelType w:val="multilevel"/>
    <w:tmpl w:val="3058101C"/>
    <w:lvl w:ilvl="0">
      <w:start w:val="1"/>
      <w:numFmt w:val="decimal"/>
      <w:pStyle w:val="Titre1"/>
      <w:suff w:val="space"/>
      <w:lvlText w:val="%1."/>
      <w:lvlJc w:val="left"/>
      <w:pPr>
        <w:ind w:left="340" w:hanging="340"/>
      </w:pPr>
      <w:rPr>
        <w:rFonts w:ascii="Roboto Medium" w:hAnsi="Roboto Medium" w:hint="default"/>
        <w:color w:val="24356D"/>
        <w:sz w:val="24"/>
      </w:rPr>
    </w:lvl>
    <w:lvl w:ilvl="1">
      <w:start w:val="1"/>
      <w:numFmt w:val="decimal"/>
      <w:pStyle w:val="Titre2"/>
      <w:suff w:val="space"/>
      <w:lvlText w:val="%1.%2."/>
      <w:lvlJc w:val="left"/>
      <w:pPr>
        <w:ind w:left="454" w:hanging="454"/>
      </w:pPr>
      <w:rPr>
        <w:rFonts w:ascii="Roboto" w:hAnsi="Roboto" w:hint="default"/>
        <w:color w:val="24356D"/>
        <w:sz w:val="22"/>
      </w:rPr>
    </w:lvl>
    <w:lvl w:ilvl="2">
      <w:start w:val="1"/>
      <w:numFmt w:val="decimal"/>
      <w:pStyle w:val="Titre3"/>
      <w:suff w:val="space"/>
      <w:lvlText w:val="%1.%2.%3."/>
      <w:lvlJc w:val="left"/>
      <w:pPr>
        <w:ind w:left="1191" w:hanging="624"/>
      </w:pPr>
      <w:rPr>
        <w:rFonts w:hint="default"/>
        <w:color w:val="263561"/>
      </w:rPr>
    </w:lvl>
    <w:lvl w:ilvl="3">
      <w:start w:val="1"/>
      <w:numFmt w:val="lowerLetter"/>
      <w:pStyle w:val="Titre4"/>
      <w:suff w:val="space"/>
      <w:lvlText w:val="%4."/>
      <w:lvlJc w:val="left"/>
      <w:pPr>
        <w:ind w:left="1474" w:hanging="283"/>
      </w:pPr>
      <w:rPr>
        <w:rFonts w:ascii="Roboto" w:hAnsi="Roboto" w:hint="default"/>
        <w:color w:val="24356D"/>
        <w:sz w:val="19"/>
      </w:rPr>
    </w:lvl>
    <w:lvl w:ilvl="4">
      <w:start w:val="1"/>
      <w:numFmt w:val="bullet"/>
      <w:pStyle w:val="Titre5"/>
      <w:suff w:val="space"/>
      <w:lvlText w:val=""/>
      <w:lvlJc w:val="left"/>
      <w:pPr>
        <w:ind w:left="1701" w:hanging="113"/>
      </w:pPr>
      <w:rPr>
        <w:rFonts w:ascii="Wingdings" w:hAnsi="Wingdings" w:hint="default"/>
        <w:color w:val="24356D"/>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703598216">
    <w:abstractNumId w:val="9"/>
  </w:num>
  <w:num w:numId="2" w16cid:durableId="1791707145">
    <w:abstractNumId w:val="7"/>
  </w:num>
  <w:num w:numId="3" w16cid:durableId="376205698">
    <w:abstractNumId w:val="3"/>
  </w:num>
  <w:num w:numId="4" w16cid:durableId="1521624252">
    <w:abstractNumId w:val="4"/>
  </w:num>
  <w:num w:numId="5" w16cid:durableId="998311166">
    <w:abstractNumId w:val="10"/>
  </w:num>
  <w:num w:numId="6" w16cid:durableId="1756247670">
    <w:abstractNumId w:val="0"/>
  </w:num>
  <w:num w:numId="7" w16cid:durableId="1728147518">
    <w:abstractNumId w:val="2"/>
  </w:num>
  <w:num w:numId="8" w16cid:durableId="842400489">
    <w:abstractNumId w:val="1"/>
  </w:num>
  <w:num w:numId="9" w16cid:durableId="388846193">
    <w:abstractNumId w:val="6"/>
  </w:num>
  <w:num w:numId="10" w16cid:durableId="1485124112">
    <w:abstractNumId w:val="5"/>
  </w:num>
  <w:num w:numId="11" w16cid:durableId="902910161">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5D5"/>
    <w:rsid w:val="00004946"/>
    <w:rsid w:val="00006164"/>
    <w:rsid w:val="0000746F"/>
    <w:rsid w:val="00011F1F"/>
    <w:rsid w:val="00012877"/>
    <w:rsid w:val="000152C1"/>
    <w:rsid w:val="00017EB3"/>
    <w:rsid w:val="00020C54"/>
    <w:rsid w:val="00020DF2"/>
    <w:rsid w:val="00021B7B"/>
    <w:rsid w:val="0002210E"/>
    <w:rsid w:val="000225A5"/>
    <w:rsid w:val="00022A32"/>
    <w:rsid w:val="00024DE1"/>
    <w:rsid w:val="00026225"/>
    <w:rsid w:val="00027B46"/>
    <w:rsid w:val="0003042D"/>
    <w:rsid w:val="00030EE3"/>
    <w:rsid w:val="00037AB4"/>
    <w:rsid w:val="00037E61"/>
    <w:rsid w:val="00040946"/>
    <w:rsid w:val="00041C3E"/>
    <w:rsid w:val="0004469F"/>
    <w:rsid w:val="000466A6"/>
    <w:rsid w:val="00054715"/>
    <w:rsid w:val="0006019E"/>
    <w:rsid w:val="00067DC8"/>
    <w:rsid w:val="000724B5"/>
    <w:rsid w:val="00073B59"/>
    <w:rsid w:val="00075404"/>
    <w:rsid w:val="00076BDB"/>
    <w:rsid w:val="0008296B"/>
    <w:rsid w:val="00091253"/>
    <w:rsid w:val="0009158E"/>
    <w:rsid w:val="00094835"/>
    <w:rsid w:val="00095CBF"/>
    <w:rsid w:val="000A07BF"/>
    <w:rsid w:val="000A6EEA"/>
    <w:rsid w:val="000B2FBE"/>
    <w:rsid w:val="000B459C"/>
    <w:rsid w:val="000C004F"/>
    <w:rsid w:val="000C2505"/>
    <w:rsid w:val="000C40EC"/>
    <w:rsid w:val="000C5C66"/>
    <w:rsid w:val="000C7198"/>
    <w:rsid w:val="000D3D69"/>
    <w:rsid w:val="000D738A"/>
    <w:rsid w:val="000E04C0"/>
    <w:rsid w:val="000E233A"/>
    <w:rsid w:val="000E43F2"/>
    <w:rsid w:val="000E4B57"/>
    <w:rsid w:val="000E52A4"/>
    <w:rsid w:val="000E72D2"/>
    <w:rsid w:val="000F07F6"/>
    <w:rsid w:val="000F3730"/>
    <w:rsid w:val="000F39BF"/>
    <w:rsid w:val="000F4406"/>
    <w:rsid w:val="000F6067"/>
    <w:rsid w:val="000F754B"/>
    <w:rsid w:val="000F7DDB"/>
    <w:rsid w:val="00104566"/>
    <w:rsid w:val="00104C5A"/>
    <w:rsid w:val="00105E66"/>
    <w:rsid w:val="00106045"/>
    <w:rsid w:val="00107055"/>
    <w:rsid w:val="001104FA"/>
    <w:rsid w:val="00112221"/>
    <w:rsid w:val="00114701"/>
    <w:rsid w:val="001159F8"/>
    <w:rsid w:val="00124DDC"/>
    <w:rsid w:val="001301A2"/>
    <w:rsid w:val="00133B37"/>
    <w:rsid w:val="00137356"/>
    <w:rsid w:val="00137A4F"/>
    <w:rsid w:val="00141E77"/>
    <w:rsid w:val="001434E9"/>
    <w:rsid w:val="00146891"/>
    <w:rsid w:val="001534A2"/>
    <w:rsid w:val="00154170"/>
    <w:rsid w:val="001600D0"/>
    <w:rsid w:val="00162C94"/>
    <w:rsid w:val="00163916"/>
    <w:rsid w:val="001672C5"/>
    <w:rsid w:val="00167428"/>
    <w:rsid w:val="00167496"/>
    <w:rsid w:val="0017131E"/>
    <w:rsid w:val="0017634A"/>
    <w:rsid w:val="001767DC"/>
    <w:rsid w:val="00185B6B"/>
    <w:rsid w:val="00186502"/>
    <w:rsid w:val="00187C9F"/>
    <w:rsid w:val="00196146"/>
    <w:rsid w:val="0019772E"/>
    <w:rsid w:val="00197B83"/>
    <w:rsid w:val="001A141F"/>
    <w:rsid w:val="001A19D9"/>
    <w:rsid w:val="001A4210"/>
    <w:rsid w:val="001A6B2E"/>
    <w:rsid w:val="001B0B8D"/>
    <w:rsid w:val="001B2367"/>
    <w:rsid w:val="001B3475"/>
    <w:rsid w:val="001C5B14"/>
    <w:rsid w:val="001C5F97"/>
    <w:rsid w:val="001C6FCC"/>
    <w:rsid w:val="001C710C"/>
    <w:rsid w:val="001D140E"/>
    <w:rsid w:val="001D1987"/>
    <w:rsid w:val="001D2C52"/>
    <w:rsid w:val="001D747A"/>
    <w:rsid w:val="001F3F6F"/>
    <w:rsid w:val="00201709"/>
    <w:rsid w:val="0020212A"/>
    <w:rsid w:val="00203DF5"/>
    <w:rsid w:val="00205EB8"/>
    <w:rsid w:val="0021376B"/>
    <w:rsid w:val="0021749B"/>
    <w:rsid w:val="00217F5B"/>
    <w:rsid w:val="00221764"/>
    <w:rsid w:val="0022603E"/>
    <w:rsid w:val="00226836"/>
    <w:rsid w:val="00234CEE"/>
    <w:rsid w:val="00236312"/>
    <w:rsid w:val="00241B34"/>
    <w:rsid w:val="00241C0A"/>
    <w:rsid w:val="002527D1"/>
    <w:rsid w:val="0025429B"/>
    <w:rsid w:val="002556D8"/>
    <w:rsid w:val="00255A6B"/>
    <w:rsid w:val="00256597"/>
    <w:rsid w:val="002574E6"/>
    <w:rsid w:val="00260924"/>
    <w:rsid w:val="00260A5C"/>
    <w:rsid w:val="00262241"/>
    <w:rsid w:val="00263883"/>
    <w:rsid w:val="00263984"/>
    <w:rsid w:val="00265148"/>
    <w:rsid w:val="00266D87"/>
    <w:rsid w:val="002679EA"/>
    <w:rsid w:val="0027196C"/>
    <w:rsid w:val="00273098"/>
    <w:rsid w:val="00275738"/>
    <w:rsid w:val="00282CAA"/>
    <w:rsid w:val="00283F87"/>
    <w:rsid w:val="00290A18"/>
    <w:rsid w:val="00291333"/>
    <w:rsid w:val="002913CA"/>
    <w:rsid w:val="0029239A"/>
    <w:rsid w:val="002935BC"/>
    <w:rsid w:val="002A0AE6"/>
    <w:rsid w:val="002A55B5"/>
    <w:rsid w:val="002A7D7D"/>
    <w:rsid w:val="002B087E"/>
    <w:rsid w:val="002B127D"/>
    <w:rsid w:val="002B2716"/>
    <w:rsid w:val="002B5DE9"/>
    <w:rsid w:val="002B6D69"/>
    <w:rsid w:val="002C4F83"/>
    <w:rsid w:val="002C5840"/>
    <w:rsid w:val="002E0106"/>
    <w:rsid w:val="002E5A20"/>
    <w:rsid w:val="002E5BBB"/>
    <w:rsid w:val="00301A15"/>
    <w:rsid w:val="00305F93"/>
    <w:rsid w:val="00311266"/>
    <w:rsid w:val="00311B81"/>
    <w:rsid w:val="003135CA"/>
    <w:rsid w:val="003144AC"/>
    <w:rsid w:val="003152E2"/>
    <w:rsid w:val="00315D09"/>
    <w:rsid w:val="003174B9"/>
    <w:rsid w:val="0032112D"/>
    <w:rsid w:val="00326263"/>
    <w:rsid w:val="003267C9"/>
    <w:rsid w:val="00327594"/>
    <w:rsid w:val="00333280"/>
    <w:rsid w:val="00341921"/>
    <w:rsid w:val="00342225"/>
    <w:rsid w:val="0034245B"/>
    <w:rsid w:val="00342845"/>
    <w:rsid w:val="00343479"/>
    <w:rsid w:val="00343EB4"/>
    <w:rsid w:val="003442CF"/>
    <w:rsid w:val="00344351"/>
    <w:rsid w:val="00344C40"/>
    <w:rsid w:val="00350EFA"/>
    <w:rsid w:val="00351A5B"/>
    <w:rsid w:val="00351EDE"/>
    <w:rsid w:val="00352828"/>
    <w:rsid w:val="00360906"/>
    <w:rsid w:val="00363DEB"/>
    <w:rsid w:val="00364B9D"/>
    <w:rsid w:val="00370CAE"/>
    <w:rsid w:val="00374102"/>
    <w:rsid w:val="00374AEE"/>
    <w:rsid w:val="00383F10"/>
    <w:rsid w:val="00384B3C"/>
    <w:rsid w:val="00395E1C"/>
    <w:rsid w:val="003972C3"/>
    <w:rsid w:val="003A0251"/>
    <w:rsid w:val="003A3FE4"/>
    <w:rsid w:val="003A586C"/>
    <w:rsid w:val="003A6D25"/>
    <w:rsid w:val="003A7010"/>
    <w:rsid w:val="003A7671"/>
    <w:rsid w:val="003B0494"/>
    <w:rsid w:val="003B4E7C"/>
    <w:rsid w:val="003B70AA"/>
    <w:rsid w:val="003B7403"/>
    <w:rsid w:val="003C40BD"/>
    <w:rsid w:val="003C6D6C"/>
    <w:rsid w:val="003D3F88"/>
    <w:rsid w:val="003D54BD"/>
    <w:rsid w:val="003E20FA"/>
    <w:rsid w:val="003E2BA2"/>
    <w:rsid w:val="003F29CC"/>
    <w:rsid w:val="003F435E"/>
    <w:rsid w:val="00401E2F"/>
    <w:rsid w:val="004041D3"/>
    <w:rsid w:val="0040518A"/>
    <w:rsid w:val="00411AC0"/>
    <w:rsid w:val="00413A09"/>
    <w:rsid w:val="00423BD3"/>
    <w:rsid w:val="00426212"/>
    <w:rsid w:val="0042758A"/>
    <w:rsid w:val="004276A4"/>
    <w:rsid w:val="00430368"/>
    <w:rsid w:val="0043581A"/>
    <w:rsid w:val="00442553"/>
    <w:rsid w:val="0044358F"/>
    <w:rsid w:val="00447789"/>
    <w:rsid w:val="00447B66"/>
    <w:rsid w:val="00451703"/>
    <w:rsid w:val="00452BA4"/>
    <w:rsid w:val="00452C8A"/>
    <w:rsid w:val="00454E39"/>
    <w:rsid w:val="004575D5"/>
    <w:rsid w:val="004620FD"/>
    <w:rsid w:val="00462251"/>
    <w:rsid w:val="0046353B"/>
    <w:rsid w:val="0046373F"/>
    <w:rsid w:val="00463E66"/>
    <w:rsid w:val="004660A5"/>
    <w:rsid w:val="004704D6"/>
    <w:rsid w:val="0047094A"/>
    <w:rsid w:val="0047146F"/>
    <w:rsid w:val="0047450B"/>
    <w:rsid w:val="00475FC3"/>
    <w:rsid w:val="004846B9"/>
    <w:rsid w:val="00485E8F"/>
    <w:rsid w:val="004900F2"/>
    <w:rsid w:val="00494986"/>
    <w:rsid w:val="0049558B"/>
    <w:rsid w:val="004A05D5"/>
    <w:rsid w:val="004A2F3B"/>
    <w:rsid w:val="004A44FA"/>
    <w:rsid w:val="004A799D"/>
    <w:rsid w:val="004B297B"/>
    <w:rsid w:val="004B3821"/>
    <w:rsid w:val="004B49E7"/>
    <w:rsid w:val="004B709D"/>
    <w:rsid w:val="004C107E"/>
    <w:rsid w:val="004C1AA0"/>
    <w:rsid w:val="004C3021"/>
    <w:rsid w:val="004C3A9C"/>
    <w:rsid w:val="004C4B4E"/>
    <w:rsid w:val="004D13A9"/>
    <w:rsid w:val="004D276B"/>
    <w:rsid w:val="004D3AFA"/>
    <w:rsid w:val="004D6A91"/>
    <w:rsid w:val="004D7B29"/>
    <w:rsid w:val="004E1E71"/>
    <w:rsid w:val="004E2E4F"/>
    <w:rsid w:val="004E5D30"/>
    <w:rsid w:val="004E5D3E"/>
    <w:rsid w:val="004E6811"/>
    <w:rsid w:val="004F016A"/>
    <w:rsid w:val="004F10E8"/>
    <w:rsid w:val="004F2558"/>
    <w:rsid w:val="004F2E0F"/>
    <w:rsid w:val="004F36CE"/>
    <w:rsid w:val="004F46BA"/>
    <w:rsid w:val="004F6425"/>
    <w:rsid w:val="00500DC8"/>
    <w:rsid w:val="0050185D"/>
    <w:rsid w:val="005034D1"/>
    <w:rsid w:val="0051144C"/>
    <w:rsid w:val="005120FF"/>
    <w:rsid w:val="005152B3"/>
    <w:rsid w:val="005202FF"/>
    <w:rsid w:val="0052125B"/>
    <w:rsid w:val="00523F2C"/>
    <w:rsid w:val="00533735"/>
    <w:rsid w:val="00534330"/>
    <w:rsid w:val="00536CA3"/>
    <w:rsid w:val="005377A2"/>
    <w:rsid w:val="00541E63"/>
    <w:rsid w:val="00544CDC"/>
    <w:rsid w:val="00546B15"/>
    <w:rsid w:val="005476A3"/>
    <w:rsid w:val="00553A8C"/>
    <w:rsid w:val="00554DEC"/>
    <w:rsid w:val="00563133"/>
    <w:rsid w:val="0056593F"/>
    <w:rsid w:val="005660A9"/>
    <w:rsid w:val="00572D4C"/>
    <w:rsid w:val="00574BAA"/>
    <w:rsid w:val="00575C66"/>
    <w:rsid w:val="00577384"/>
    <w:rsid w:val="00583CBF"/>
    <w:rsid w:val="0059202E"/>
    <w:rsid w:val="005923AA"/>
    <w:rsid w:val="00593845"/>
    <w:rsid w:val="00595CCF"/>
    <w:rsid w:val="00597CD5"/>
    <w:rsid w:val="005A0267"/>
    <w:rsid w:val="005A1ACF"/>
    <w:rsid w:val="005A1D23"/>
    <w:rsid w:val="005A2B4A"/>
    <w:rsid w:val="005A5027"/>
    <w:rsid w:val="005A7C51"/>
    <w:rsid w:val="005C0B32"/>
    <w:rsid w:val="005C1C51"/>
    <w:rsid w:val="005C24BD"/>
    <w:rsid w:val="005C29FD"/>
    <w:rsid w:val="005C3A80"/>
    <w:rsid w:val="005C5900"/>
    <w:rsid w:val="005D19DB"/>
    <w:rsid w:val="005D2AC5"/>
    <w:rsid w:val="005D2CAB"/>
    <w:rsid w:val="005D5C64"/>
    <w:rsid w:val="005D6AD7"/>
    <w:rsid w:val="005E0BA2"/>
    <w:rsid w:val="005E41EA"/>
    <w:rsid w:val="005E4BF5"/>
    <w:rsid w:val="005E6DC9"/>
    <w:rsid w:val="005F0049"/>
    <w:rsid w:val="005F0A7A"/>
    <w:rsid w:val="00600F78"/>
    <w:rsid w:val="006021BD"/>
    <w:rsid w:val="00604C6D"/>
    <w:rsid w:val="00605BEB"/>
    <w:rsid w:val="00611471"/>
    <w:rsid w:val="00612B96"/>
    <w:rsid w:val="00614486"/>
    <w:rsid w:val="00615A55"/>
    <w:rsid w:val="00615A5B"/>
    <w:rsid w:val="006172A2"/>
    <w:rsid w:val="0062292C"/>
    <w:rsid w:val="00623628"/>
    <w:rsid w:val="00635A3B"/>
    <w:rsid w:val="00640F79"/>
    <w:rsid w:val="00641C0F"/>
    <w:rsid w:val="0064563D"/>
    <w:rsid w:val="006476B4"/>
    <w:rsid w:val="00647769"/>
    <w:rsid w:val="00650FB5"/>
    <w:rsid w:val="00652A0B"/>
    <w:rsid w:val="006530F6"/>
    <w:rsid w:val="00653BBB"/>
    <w:rsid w:val="00654225"/>
    <w:rsid w:val="00657B14"/>
    <w:rsid w:val="0066276D"/>
    <w:rsid w:val="0066512E"/>
    <w:rsid w:val="00667CBA"/>
    <w:rsid w:val="006720D4"/>
    <w:rsid w:val="00676778"/>
    <w:rsid w:val="00680495"/>
    <w:rsid w:val="006873DD"/>
    <w:rsid w:val="006876BB"/>
    <w:rsid w:val="006877DF"/>
    <w:rsid w:val="006905B5"/>
    <w:rsid w:val="00690C5C"/>
    <w:rsid w:val="00692647"/>
    <w:rsid w:val="006964D4"/>
    <w:rsid w:val="006A0580"/>
    <w:rsid w:val="006A42A3"/>
    <w:rsid w:val="006A5D2B"/>
    <w:rsid w:val="006A60AC"/>
    <w:rsid w:val="006B74DB"/>
    <w:rsid w:val="006B7B96"/>
    <w:rsid w:val="006C573B"/>
    <w:rsid w:val="006C5760"/>
    <w:rsid w:val="006C7C75"/>
    <w:rsid w:val="006D4BEE"/>
    <w:rsid w:val="006D5485"/>
    <w:rsid w:val="006D5547"/>
    <w:rsid w:val="006D59A7"/>
    <w:rsid w:val="006E77B4"/>
    <w:rsid w:val="006F318A"/>
    <w:rsid w:val="006F3D24"/>
    <w:rsid w:val="006F44E6"/>
    <w:rsid w:val="006F49E2"/>
    <w:rsid w:val="006F7243"/>
    <w:rsid w:val="006F795D"/>
    <w:rsid w:val="007004C1"/>
    <w:rsid w:val="00702963"/>
    <w:rsid w:val="007114CA"/>
    <w:rsid w:val="00716C91"/>
    <w:rsid w:val="00720DE6"/>
    <w:rsid w:val="00722BF1"/>
    <w:rsid w:val="00725D1C"/>
    <w:rsid w:val="00727038"/>
    <w:rsid w:val="007302A6"/>
    <w:rsid w:val="00735A2C"/>
    <w:rsid w:val="00735ED6"/>
    <w:rsid w:val="00737754"/>
    <w:rsid w:val="007577CB"/>
    <w:rsid w:val="00757D45"/>
    <w:rsid w:val="00757F3B"/>
    <w:rsid w:val="00760136"/>
    <w:rsid w:val="00764534"/>
    <w:rsid w:val="007664C4"/>
    <w:rsid w:val="0077195D"/>
    <w:rsid w:val="00773538"/>
    <w:rsid w:val="0077468A"/>
    <w:rsid w:val="00774880"/>
    <w:rsid w:val="00776738"/>
    <w:rsid w:val="00780D44"/>
    <w:rsid w:val="007813BA"/>
    <w:rsid w:val="00782D24"/>
    <w:rsid w:val="00782E0B"/>
    <w:rsid w:val="00785B33"/>
    <w:rsid w:val="0079046B"/>
    <w:rsid w:val="00790CB5"/>
    <w:rsid w:val="0079460C"/>
    <w:rsid w:val="00795206"/>
    <w:rsid w:val="00795FEA"/>
    <w:rsid w:val="00797BDA"/>
    <w:rsid w:val="007A4BEA"/>
    <w:rsid w:val="007B4EBC"/>
    <w:rsid w:val="007B5223"/>
    <w:rsid w:val="007C4018"/>
    <w:rsid w:val="007C4A20"/>
    <w:rsid w:val="007D0E04"/>
    <w:rsid w:val="007D5020"/>
    <w:rsid w:val="007D5C26"/>
    <w:rsid w:val="007D797F"/>
    <w:rsid w:val="007E4F1C"/>
    <w:rsid w:val="007F455B"/>
    <w:rsid w:val="007F46F1"/>
    <w:rsid w:val="007F6B28"/>
    <w:rsid w:val="0080128C"/>
    <w:rsid w:val="00802C5A"/>
    <w:rsid w:val="008044F9"/>
    <w:rsid w:val="008051BF"/>
    <w:rsid w:val="00810584"/>
    <w:rsid w:val="00810CA5"/>
    <w:rsid w:val="00811730"/>
    <w:rsid w:val="00823994"/>
    <w:rsid w:val="00823EBD"/>
    <w:rsid w:val="00824EA7"/>
    <w:rsid w:val="008252E5"/>
    <w:rsid w:val="008263EA"/>
    <w:rsid w:val="0082671E"/>
    <w:rsid w:val="00830B45"/>
    <w:rsid w:val="0083255D"/>
    <w:rsid w:val="008370E1"/>
    <w:rsid w:val="008373C1"/>
    <w:rsid w:val="00840042"/>
    <w:rsid w:val="008425EC"/>
    <w:rsid w:val="0084509C"/>
    <w:rsid w:val="00845367"/>
    <w:rsid w:val="008558B4"/>
    <w:rsid w:val="00855BBD"/>
    <w:rsid w:val="008663DE"/>
    <w:rsid w:val="0087366E"/>
    <w:rsid w:val="00877216"/>
    <w:rsid w:val="00881C83"/>
    <w:rsid w:val="00885D19"/>
    <w:rsid w:val="00887E27"/>
    <w:rsid w:val="00891DC6"/>
    <w:rsid w:val="00892D0F"/>
    <w:rsid w:val="00894609"/>
    <w:rsid w:val="008A27A7"/>
    <w:rsid w:val="008A3F5D"/>
    <w:rsid w:val="008C27AF"/>
    <w:rsid w:val="008C4698"/>
    <w:rsid w:val="008C6B33"/>
    <w:rsid w:val="008C7B59"/>
    <w:rsid w:val="008D199C"/>
    <w:rsid w:val="008D2E21"/>
    <w:rsid w:val="008D2F5B"/>
    <w:rsid w:val="008D561F"/>
    <w:rsid w:val="008E69E4"/>
    <w:rsid w:val="008F0628"/>
    <w:rsid w:val="008F4542"/>
    <w:rsid w:val="008F6A05"/>
    <w:rsid w:val="0090156F"/>
    <w:rsid w:val="00901947"/>
    <w:rsid w:val="00901DFA"/>
    <w:rsid w:val="00902E8B"/>
    <w:rsid w:val="0090344F"/>
    <w:rsid w:val="009049C6"/>
    <w:rsid w:val="00905CB2"/>
    <w:rsid w:val="009079D4"/>
    <w:rsid w:val="0091082D"/>
    <w:rsid w:val="00911BEF"/>
    <w:rsid w:val="00914DC7"/>
    <w:rsid w:val="00917FD5"/>
    <w:rsid w:val="00924D26"/>
    <w:rsid w:val="009302E4"/>
    <w:rsid w:val="00940634"/>
    <w:rsid w:val="00940700"/>
    <w:rsid w:val="00940977"/>
    <w:rsid w:val="00942D01"/>
    <w:rsid w:val="00943C9B"/>
    <w:rsid w:val="00944485"/>
    <w:rsid w:val="00946C92"/>
    <w:rsid w:val="00955AA6"/>
    <w:rsid w:val="009632E3"/>
    <w:rsid w:val="009646C5"/>
    <w:rsid w:val="009736A3"/>
    <w:rsid w:val="00974E81"/>
    <w:rsid w:val="00975070"/>
    <w:rsid w:val="009751C8"/>
    <w:rsid w:val="00977D39"/>
    <w:rsid w:val="00982818"/>
    <w:rsid w:val="00983FBC"/>
    <w:rsid w:val="00985284"/>
    <w:rsid w:val="00985EC7"/>
    <w:rsid w:val="00986855"/>
    <w:rsid w:val="00990BC1"/>
    <w:rsid w:val="009926BF"/>
    <w:rsid w:val="009938BD"/>
    <w:rsid w:val="00997168"/>
    <w:rsid w:val="00997DE0"/>
    <w:rsid w:val="009A1B96"/>
    <w:rsid w:val="009A301E"/>
    <w:rsid w:val="009B58DF"/>
    <w:rsid w:val="009B7464"/>
    <w:rsid w:val="009C0893"/>
    <w:rsid w:val="009C1F33"/>
    <w:rsid w:val="009C5ADC"/>
    <w:rsid w:val="009C6929"/>
    <w:rsid w:val="009C6B00"/>
    <w:rsid w:val="009D1D1B"/>
    <w:rsid w:val="009D38AD"/>
    <w:rsid w:val="009E23A3"/>
    <w:rsid w:val="009E3084"/>
    <w:rsid w:val="009E6F59"/>
    <w:rsid w:val="009F234F"/>
    <w:rsid w:val="009F4368"/>
    <w:rsid w:val="009F7F5A"/>
    <w:rsid w:val="00A0032B"/>
    <w:rsid w:val="00A00EC9"/>
    <w:rsid w:val="00A021A5"/>
    <w:rsid w:val="00A077E2"/>
    <w:rsid w:val="00A078AC"/>
    <w:rsid w:val="00A101C0"/>
    <w:rsid w:val="00A12108"/>
    <w:rsid w:val="00A13CF8"/>
    <w:rsid w:val="00A147CF"/>
    <w:rsid w:val="00A17BA0"/>
    <w:rsid w:val="00A2063A"/>
    <w:rsid w:val="00A22BD0"/>
    <w:rsid w:val="00A23C84"/>
    <w:rsid w:val="00A2433C"/>
    <w:rsid w:val="00A2504C"/>
    <w:rsid w:val="00A26D6A"/>
    <w:rsid w:val="00A31D1F"/>
    <w:rsid w:val="00A33B20"/>
    <w:rsid w:val="00A34E6E"/>
    <w:rsid w:val="00A36030"/>
    <w:rsid w:val="00A36668"/>
    <w:rsid w:val="00A427CC"/>
    <w:rsid w:val="00A465D4"/>
    <w:rsid w:val="00A511F2"/>
    <w:rsid w:val="00A512F4"/>
    <w:rsid w:val="00A5169E"/>
    <w:rsid w:val="00A53C7C"/>
    <w:rsid w:val="00A570B6"/>
    <w:rsid w:val="00A576FF"/>
    <w:rsid w:val="00A57894"/>
    <w:rsid w:val="00A62FDF"/>
    <w:rsid w:val="00A64656"/>
    <w:rsid w:val="00A73BFF"/>
    <w:rsid w:val="00A82473"/>
    <w:rsid w:val="00A8394E"/>
    <w:rsid w:val="00A83A70"/>
    <w:rsid w:val="00A8513C"/>
    <w:rsid w:val="00A868BB"/>
    <w:rsid w:val="00A86CAC"/>
    <w:rsid w:val="00A9139C"/>
    <w:rsid w:val="00A91ABB"/>
    <w:rsid w:val="00AA1E18"/>
    <w:rsid w:val="00AA3318"/>
    <w:rsid w:val="00AA5C24"/>
    <w:rsid w:val="00AA6AEA"/>
    <w:rsid w:val="00AB226A"/>
    <w:rsid w:val="00AB2FC7"/>
    <w:rsid w:val="00AB3C65"/>
    <w:rsid w:val="00AC0D60"/>
    <w:rsid w:val="00AD0326"/>
    <w:rsid w:val="00AD1B0E"/>
    <w:rsid w:val="00AD7160"/>
    <w:rsid w:val="00AE0080"/>
    <w:rsid w:val="00AE15E3"/>
    <w:rsid w:val="00AE3230"/>
    <w:rsid w:val="00AE5E26"/>
    <w:rsid w:val="00AF02C7"/>
    <w:rsid w:val="00AF5680"/>
    <w:rsid w:val="00AF633C"/>
    <w:rsid w:val="00AF68C3"/>
    <w:rsid w:val="00AF6A0E"/>
    <w:rsid w:val="00B05258"/>
    <w:rsid w:val="00B05A1A"/>
    <w:rsid w:val="00B12D18"/>
    <w:rsid w:val="00B151AA"/>
    <w:rsid w:val="00B15ECB"/>
    <w:rsid w:val="00B15F16"/>
    <w:rsid w:val="00B161E6"/>
    <w:rsid w:val="00B21862"/>
    <w:rsid w:val="00B23393"/>
    <w:rsid w:val="00B24306"/>
    <w:rsid w:val="00B3046C"/>
    <w:rsid w:val="00B322AA"/>
    <w:rsid w:val="00B403D5"/>
    <w:rsid w:val="00B47B6B"/>
    <w:rsid w:val="00B5310D"/>
    <w:rsid w:val="00B5567C"/>
    <w:rsid w:val="00B56DF1"/>
    <w:rsid w:val="00B57FFC"/>
    <w:rsid w:val="00B601DA"/>
    <w:rsid w:val="00B60507"/>
    <w:rsid w:val="00B6128D"/>
    <w:rsid w:val="00B63D4E"/>
    <w:rsid w:val="00B64195"/>
    <w:rsid w:val="00B66C0B"/>
    <w:rsid w:val="00B71495"/>
    <w:rsid w:val="00B77F7B"/>
    <w:rsid w:val="00B8103D"/>
    <w:rsid w:val="00B82441"/>
    <w:rsid w:val="00B8304E"/>
    <w:rsid w:val="00B84FCF"/>
    <w:rsid w:val="00B85122"/>
    <w:rsid w:val="00B94EFA"/>
    <w:rsid w:val="00B95748"/>
    <w:rsid w:val="00BA0CD9"/>
    <w:rsid w:val="00BA1A64"/>
    <w:rsid w:val="00BA1B00"/>
    <w:rsid w:val="00BB1142"/>
    <w:rsid w:val="00BB5EE8"/>
    <w:rsid w:val="00BC7A06"/>
    <w:rsid w:val="00BD10C0"/>
    <w:rsid w:val="00BD5F90"/>
    <w:rsid w:val="00BD6F54"/>
    <w:rsid w:val="00BE0102"/>
    <w:rsid w:val="00BE3FFF"/>
    <w:rsid w:val="00BE53A0"/>
    <w:rsid w:val="00BF1965"/>
    <w:rsid w:val="00BF1D2E"/>
    <w:rsid w:val="00BF4691"/>
    <w:rsid w:val="00BF6C66"/>
    <w:rsid w:val="00C029C7"/>
    <w:rsid w:val="00C05C2D"/>
    <w:rsid w:val="00C138EB"/>
    <w:rsid w:val="00C1648A"/>
    <w:rsid w:val="00C16F5B"/>
    <w:rsid w:val="00C17B17"/>
    <w:rsid w:val="00C20600"/>
    <w:rsid w:val="00C21FED"/>
    <w:rsid w:val="00C25014"/>
    <w:rsid w:val="00C265E8"/>
    <w:rsid w:val="00C26751"/>
    <w:rsid w:val="00C32CB2"/>
    <w:rsid w:val="00C33D70"/>
    <w:rsid w:val="00C348F7"/>
    <w:rsid w:val="00C34CA8"/>
    <w:rsid w:val="00C360B3"/>
    <w:rsid w:val="00C36EE1"/>
    <w:rsid w:val="00C40A46"/>
    <w:rsid w:val="00C437DA"/>
    <w:rsid w:val="00C4498B"/>
    <w:rsid w:val="00C46C22"/>
    <w:rsid w:val="00C4766D"/>
    <w:rsid w:val="00C47D16"/>
    <w:rsid w:val="00C52AF2"/>
    <w:rsid w:val="00C53316"/>
    <w:rsid w:val="00C70478"/>
    <w:rsid w:val="00C74502"/>
    <w:rsid w:val="00C76712"/>
    <w:rsid w:val="00C804CB"/>
    <w:rsid w:val="00C9044D"/>
    <w:rsid w:val="00C907D4"/>
    <w:rsid w:val="00C96A07"/>
    <w:rsid w:val="00CA3E44"/>
    <w:rsid w:val="00CA4D14"/>
    <w:rsid w:val="00CB062C"/>
    <w:rsid w:val="00CB153C"/>
    <w:rsid w:val="00CB6127"/>
    <w:rsid w:val="00CB61D4"/>
    <w:rsid w:val="00CB659E"/>
    <w:rsid w:val="00CB7750"/>
    <w:rsid w:val="00CC028E"/>
    <w:rsid w:val="00CC1F6C"/>
    <w:rsid w:val="00CC2542"/>
    <w:rsid w:val="00CC3713"/>
    <w:rsid w:val="00CC3F7F"/>
    <w:rsid w:val="00CC5166"/>
    <w:rsid w:val="00CD0F4F"/>
    <w:rsid w:val="00CD158E"/>
    <w:rsid w:val="00CD65DE"/>
    <w:rsid w:val="00CF2616"/>
    <w:rsid w:val="00CF2B61"/>
    <w:rsid w:val="00CF2E70"/>
    <w:rsid w:val="00CF514E"/>
    <w:rsid w:val="00CF5C5B"/>
    <w:rsid w:val="00CF60EC"/>
    <w:rsid w:val="00CF67B9"/>
    <w:rsid w:val="00D031F4"/>
    <w:rsid w:val="00D03249"/>
    <w:rsid w:val="00D06988"/>
    <w:rsid w:val="00D1024C"/>
    <w:rsid w:val="00D106F7"/>
    <w:rsid w:val="00D153A4"/>
    <w:rsid w:val="00D15F96"/>
    <w:rsid w:val="00D160C5"/>
    <w:rsid w:val="00D2434F"/>
    <w:rsid w:val="00D26B6D"/>
    <w:rsid w:val="00D27CF3"/>
    <w:rsid w:val="00D30E99"/>
    <w:rsid w:val="00D348D2"/>
    <w:rsid w:val="00D415A3"/>
    <w:rsid w:val="00D47FB7"/>
    <w:rsid w:val="00D51B65"/>
    <w:rsid w:val="00D53A6A"/>
    <w:rsid w:val="00D54E34"/>
    <w:rsid w:val="00D551C7"/>
    <w:rsid w:val="00D5543E"/>
    <w:rsid w:val="00D55B3A"/>
    <w:rsid w:val="00D56234"/>
    <w:rsid w:val="00D56391"/>
    <w:rsid w:val="00D6271F"/>
    <w:rsid w:val="00D66393"/>
    <w:rsid w:val="00D66667"/>
    <w:rsid w:val="00D66DAF"/>
    <w:rsid w:val="00D67138"/>
    <w:rsid w:val="00D71233"/>
    <w:rsid w:val="00D72B71"/>
    <w:rsid w:val="00D72EC2"/>
    <w:rsid w:val="00D76B2A"/>
    <w:rsid w:val="00D76C9A"/>
    <w:rsid w:val="00D822C5"/>
    <w:rsid w:val="00D82CA0"/>
    <w:rsid w:val="00D846BF"/>
    <w:rsid w:val="00D874FE"/>
    <w:rsid w:val="00D92367"/>
    <w:rsid w:val="00D94359"/>
    <w:rsid w:val="00D9514B"/>
    <w:rsid w:val="00D974FD"/>
    <w:rsid w:val="00DA14E3"/>
    <w:rsid w:val="00DA1957"/>
    <w:rsid w:val="00DA2461"/>
    <w:rsid w:val="00DA5003"/>
    <w:rsid w:val="00DA7770"/>
    <w:rsid w:val="00DB2215"/>
    <w:rsid w:val="00DB35CA"/>
    <w:rsid w:val="00DB4648"/>
    <w:rsid w:val="00DB50FC"/>
    <w:rsid w:val="00DB60AB"/>
    <w:rsid w:val="00DB7F7D"/>
    <w:rsid w:val="00DC1D9B"/>
    <w:rsid w:val="00DC44EB"/>
    <w:rsid w:val="00DC4851"/>
    <w:rsid w:val="00DC65AD"/>
    <w:rsid w:val="00DC6645"/>
    <w:rsid w:val="00DD3630"/>
    <w:rsid w:val="00DD3AA6"/>
    <w:rsid w:val="00DD5CD1"/>
    <w:rsid w:val="00DD5E5D"/>
    <w:rsid w:val="00DD7B31"/>
    <w:rsid w:val="00DE70E2"/>
    <w:rsid w:val="00DF2CB8"/>
    <w:rsid w:val="00E0272F"/>
    <w:rsid w:val="00E03C1A"/>
    <w:rsid w:val="00E045E6"/>
    <w:rsid w:val="00E07E88"/>
    <w:rsid w:val="00E13FBD"/>
    <w:rsid w:val="00E148A6"/>
    <w:rsid w:val="00E20686"/>
    <w:rsid w:val="00E234C9"/>
    <w:rsid w:val="00E23A1E"/>
    <w:rsid w:val="00E25C88"/>
    <w:rsid w:val="00E25ED0"/>
    <w:rsid w:val="00E26CEA"/>
    <w:rsid w:val="00E27A99"/>
    <w:rsid w:val="00E301B2"/>
    <w:rsid w:val="00E31842"/>
    <w:rsid w:val="00E33732"/>
    <w:rsid w:val="00E357AD"/>
    <w:rsid w:val="00E404C3"/>
    <w:rsid w:val="00E4075A"/>
    <w:rsid w:val="00E42751"/>
    <w:rsid w:val="00E43D43"/>
    <w:rsid w:val="00E44F91"/>
    <w:rsid w:val="00E4792F"/>
    <w:rsid w:val="00E5239E"/>
    <w:rsid w:val="00E53B55"/>
    <w:rsid w:val="00E53F73"/>
    <w:rsid w:val="00E54166"/>
    <w:rsid w:val="00E55199"/>
    <w:rsid w:val="00E579A8"/>
    <w:rsid w:val="00E617F1"/>
    <w:rsid w:val="00E61C45"/>
    <w:rsid w:val="00E62D3A"/>
    <w:rsid w:val="00E64A5E"/>
    <w:rsid w:val="00E67ADC"/>
    <w:rsid w:val="00E67B00"/>
    <w:rsid w:val="00E7082F"/>
    <w:rsid w:val="00E7713A"/>
    <w:rsid w:val="00E80C3F"/>
    <w:rsid w:val="00E8301D"/>
    <w:rsid w:val="00E84B3D"/>
    <w:rsid w:val="00E84DF8"/>
    <w:rsid w:val="00E870BD"/>
    <w:rsid w:val="00E872AA"/>
    <w:rsid w:val="00E878E2"/>
    <w:rsid w:val="00E90354"/>
    <w:rsid w:val="00E9349C"/>
    <w:rsid w:val="00E97174"/>
    <w:rsid w:val="00EA31D9"/>
    <w:rsid w:val="00EA3648"/>
    <w:rsid w:val="00EA47EE"/>
    <w:rsid w:val="00EA590B"/>
    <w:rsid w:val="00EA7F75"/>
    <w:rsid w:val="00EB2DED"/>
    <w:rsid w:val="00EB794A"/>
    <w:rsid w:val="00EC38BB"/>
    <w:rsid w:val="00EC4BCE"/>
    <w:rsid w:val="00EC6814"/>
    <w:rsid w:val="00ED45B8"/>
    <w:rsid w:val="00ED7E44"/>
    <w:rsid w:val="00EE0A19"/>
    <w:rsid w:val="00EE2AE4"/>
    <w:rsid w:val="00EE551A"/>
    <w:rsid w:val="00EE74AD"/>
    <w:rsid w:val="00F03F69"/>
    <w:rsid w:val="00F10719"/>
    <w:rsid w:val="00F147DE"/>
    <w:rsid w:val="00F17F5B"/>
    <w:rsid w:val="00F21B83"/>
    <w:rsid w:val="00F224E4"/>
    <w:rsid w:val="00F241FB"/>
    <w:rsid w:val="00F258BA"/>
    <w:rsid w:val="00F25F79"/>
    <w:rsid w:val="00F2786D"/>
    <w:rsid w:val="00F33194"/>
    <w:rsid w:val="00F3502C"/>
    <w:rsid w:val="00F35869"/>
    <w:rsid w:val="00F377FF"/>
    <w:rsid w:val="00F44EFD"/>
    <w:rsid w:val="00F55771"/>
    <w:rsid w:val="00F55804"/>
    <w:rsid w:val="00F55BB8"/>
    <w:rsid w:val="00F633C2"/>
    <w:rsid w:val="00F64F52"/>
    <w:rsid w:val="00F651D9"/>
    <w:rsid w:val="00F66422"/>
    <w:rsid w:val="00F6656E"/>
    <w:rsid w:val="00F6693C"/>
    <w:rsid w:val="00F70CE9"/>
    <w:rsid w:val="00F70EB5"/>
    <w:rsid w:val="00F712A1"/>
    <w:rsid w:val="00F729F8"/>
    <w:rsid w:val="00F74325"/>
    <w:rsid w:val="00F80F5C"/>
    <w:rsid w:val="00F82F60"/>
    <w:rsid w:val="00F83CF8"/>
    <w:rsid w:val="00F84377"/>
    <w:rsid w:val="00F850C4"/>
    <w:rsid w:val="00F851F0"/>
    <w:rsid w:val="00F86358"/>
    <w:rsid w:val="00F93B89"/>
    <w:rsid w:val="00F95B55"/>
    <w:rsid w:val="00F97A23"/>
    <w:rsid w:val="00FA0B3E"/>
    <w:rsid w:val="00FA3921"/>
    <w:rsid w:val="00FA6401"/>
    <w:rsid w:val="00FB4466"/>
    <w:rsid w:val="00FB68CA"/>
    <w:rsid w:val="00FC103A"/>
    <w:rsid w:val="00FC22A9"/>
    <w:rsid w:val="00FC2377"/>
    <w:rsid w:val="00FC2E71"/>
    <w:rsid w:val="00FC3D08"/>
    <w:rsid w:val="00FC649C"/>
    <w:rsid w:val="00FC6940"/>
    <w:rsid w:val="00FC69F3"/>
    <w:rsid w:val="00FC7E86"/>
    <w:rsid w:val="00FD09F6"/>
    <w:rsid w:val="00FD0A02"/>
    <w:rsid w:val="00FD1A49"/>
    <w:rsid w:val="00FD31C3"/>
    <w:rsid w:val="00FD5E88"/>
    <w:rsid w:val="00FE176D"/>
    <w:rsid w:val="00FE47DA"/>
    <w:rsid w:val="00FE68AE"/>
    <w:rsid w:val="00FF3C4D"/>
    <w:rsid w:val="00FF428A"/>
    <w:rsid w:val="26CE40A7"/>
    <w:rsid w:val="3980E33D"/>
    <w:rsid w:val="6A383080"/>
    <w:rsid w:val="72B8888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7A27B53"/>
  <w15:docId w15:val="{605038B7-CD64-42CE-B033-00D3F3F73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lang w:val="fr-FR" w:eastAsia="fr-FR"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4" w:unhideWhenUsed="1" w:qFormat="1"/>
    <w:lsdException w:name="heading 3" w:semiHidden="1" w:uiPriority="4" w:unhideWhenUsed="1" w:qFormat="1"/>
    <w:lsdException w:name="heading 4" w:semiHidden="1" w:uiPriority="4" w:unhideWhenUsed="1" w:qFormat="1"/>
    <w:lsdException w:name="heading 5" w:semiHidden="1" w:uiPriority="4"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76FF"/>
    <w:pPr>
      <w:spacing w:before="240" w:after="240" w:line="240" w:lineRule="auto"/>
      <w:jc w:val="both"/>
    </w:pPr>
    <w:rPr>
      <w:rFonts w:ascii="Roboto" w:hAnsi="Roboto"/>
      <w:sz w:val="21"/>
    </w:rPr>
  </w:style>
  <w:style w:type="paragraph" w:styleId="Titre1">
    <w:name w:val="heading 1"/>
    <w:basedOn w:val="Normal"/>
    <w:next w:val="Normal"/>
    <w:link w:val="Titre1Car"/>
    <w:autoRedefine/>
    <w:uiPriority w:val="4"/>
    <w:qFormat/>
    <w:rsid w:val="00A576FF"/>
    <w:pPr>
      <w:keepNext/>
      <w:keepLines/>
      <w:numPr>
        <w:numId w:val="5"/>
      </w:numPr>
      <w:spacing w:before="720" w:line="280" w:lineRule="exact"/>
      <w:outlineLvl w:val="0"/>
    </w:pPr>
    <w:rPr>
      <w:rFonts w:ascii="Roboto Medium" w:eastAsiaTheme="majorEastAsia" w:hAnsi="Roboto Medium" w:cstheme="minorHAnsi"/>
      <w:bCs/>
      <w:caps/>
      <w:noProof/>
      <w:color w:val="24356D"/>
      <w:sz w:val="24"/>
      <w:szCs w:val="24"/>
    </w:rPr>
  </w:style>
  <w:style w:type="paragraph" w:styleId="Titre2">
    <w:name w:val="heading 2"/>
    <w:basedOn w:val="Normal"/>
    <w:next w:val="Normal"/>
    <w:link w:val="Titre2Car"/>
    <w:autoRedefine/>
    <w:uiPriority w:val="4"/>
    <w:unhideWhenUsed/>
    <w:qFormat/>
    <w:rsid w:val="009A1B96"/>
    <w:pPr>
      <w:keepNext/>
      <w:keepLines/>
      <w:numPr>
        <w:ilvl w:val="1"/>
        <w:numId w:val="5"/>
      </w:numPr>
      <w:spacing w:before="480" w:line="276" w:lineRule="auto"/>
      <w:mirrorIndents/>
      <w:outlineLvl w:val="1"/>
    </w:pPr>
    <w:rPr>
      <w:rFonts w:eastAsiaTheme="majorEastAsia" w:cstheme="majorBidi"/>
      <w:bCs/>
      <w:color w:val="24356D"/>
      <w:sz w:val="22"/>
      <w:szCs w:val="26"/>
    </w:rPr>
  </w:style>
  <w:style w:type="paragraph" w:styleId="Titre3">
    <w:name w:val="heading 3"/>
    <w:basedOn w:val="Titre2"/>
    <w:next w:val="Normal"/>
    <w:link w:val="Titre3Car"/>
    <w:autoRedefine/>
    <w:uiPriority w:val="4"/>
    <w:unhideWhenUsed/>
    <w:qFormat/>
    <w:rsid w:val="00A576FF"/>
    <w:pPr>
      <w:numPr>
        <w:ilvl w:val="2"/>
      </w:numPr>
      <w:spacing w:before="360" w:line="240" w:lineRule="auto"/>
      <w:mirrorIndents w:val="0"/>
      <w:outlineLvl w:val="2"/>
    </w:pPr>
    <w:rPr>
      <w:sz w:val="21"/>
    </w:rPr>
  </w:style>
  <w:style w:type="paragraph" w:styleId="Titre4">
    <w:name w:val="heading 4"/>
    <w:basedOn w:val="Normal"/>
    <w:next w:val="Normal"/>
    <w:link w:val="Titre4Car"/>
    <w:uiPriority w:val="4"/>
    <w:unhideWhenUsed/>
    <w:qFormat/>
    <w:rsid w:val="00A576FF"/>
    <w:pPr>
      <w:keepNext/>
      <w:keepLines/>
      <w:numPr>
        <w:ilvl w:val="3"/>
        <w:numId w:val="5"/>
      </w:numPr>
      <w:spacing w:before="200"/>
      <w:outlineLvl w:val="3"/>
    </w:pPr>
    <w:rPr>
      <w:rFonts w:eastAsiaTheme="majorEastAsia" w:cstheme="majorBidi"/>
      <w:bCs/>
      <w:iCs/>
      <w:color w:val="24356D"/>
      <w:sz w:val="19"/>
    </w:rPr>
  </w:style>
  <w:style w:type="paragraph" w:styleId="Titre5">
    <w:name w:val="heading 5"/>
    <w:basedOn w:val="Normal"/>
    <w:next w:val="Normal"/>
    <w:link w:val="Titre5Car"/>
    <w:uiPriority w:val="4"/>
    <w:unhideWhenUsed/>
    <w:qFormat/>
    <w:rsid w:val="00A576FF"/>
    <w:pPr>
      <w:keepNext/>
      <w:keepLines/>
      <w:numPr>
        <w:ilvl w:val="4"/>
        <w:numId w:val="5"/>
      </w:numPr>
      <w:spacing w:before="360" w:after="0"/>
      <w:outlineLvl w:val="4"/>
    </w:pPr>
    <w:rPr>
      <w:rFonts w:eastAsiaTheme="majorEastAsia" w:cstheme="majorBidi"/>
      <w:color w:val="24356D"/>
      <w:spacing w:val="-4"/>
    </w:rPr>
  </w:style>
  <w:style w:type="paragraph" w:styleId="Titre6">
    <w:name w:val="heading 6"/>
    <w:basedOn w:val="Normal"/>
    <w:next w:val="Normal"/>
    <w:link w:val="Titre6Car"/>
    <w:uiPriority w:val="9"/>
    <w:semiHidden/>
    <w:unhideWhenUsed/>
    <w:qFormat/>
    <w:rsid w:val="00A576FF"/>
    <w:pPr>
      <w:keepNext/>
      <w:keepLines/>
      <w:spacing w:before="40" w:after="0"/>
      <w:outlineLvl w:val="5"/>
    </w:pPr>
    <w:rPr>
      <w:rFonts w:ascii="Roboto Medium" w:eastAsiaTheme="majorEastAsia" w:hAnsi="Roboto Medium" w:cstheme="majorBidi"/>
      <w:color w:val="24356D"/>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4"/>
    <w:rsid w:val="009A1B96"/>
    <w:rPr>
      <w:rFonts w:ascii="Roboto" w:eastAsiaTheme="majorEastAsia" w:hAnsi="Roboto" w:cstheme="majorBidi"/>
      <w:bCs/>
      <w:color w:val="24356D"/>
      <w:sz w:val="22"/>
      <w:szCs w:val="26"/>
    </w:rPr>
  </w:style>
  <w:style w:type="character" w:customStyle="1" w:styleId="Titre3Car">
    <w:name w:val="Titre 3 Car"/>
    <w:basedOn w:val="Policepardfaut"/>
    <w:link w:val="Titre3"/>
    <w:uiPriority w:val="4"/>
    <w:rsid w:val="00344351"/>
    <w:rPr>
      <w:rFonts w:ascii="Roboto" w:eastAsiaTheme="majorEastAsia" w:hAnsi="Roboto" w:cstheme="majorBidi"/>
      <w:bCs/>
      <w:color w:val="24356D"/>
      <w:sz w:val="21"/>
      <w:szCs w:val="26"/>
    </w:rPr>
  </w:style>
  <w:style w:type="table" w:styleId="Listeclaire">
    <w:name w:val="Light List"/>
    <w:basedOn w:val="TableauNormal"/>
    <w:uiPriority w:val="61"/>
    <w:rsid w:val="00D03249"/>
    <w:pPr>
      <w:spacing w:line="288" w:lineRule="auto"/>
    </w:pPr>
    <w:rPr>
      <w:rFonts w:asciiTheme="minorHAnsi" w:eastAsia="Times New Roman" w:hAnsiTheme="minorHAnsi"/>
    </w:rPr>
    <w:tblPr>
      <w:tblStyleRowBandSize w:val="1"/>
      <w:tblStyleColBandSize w:val="1"/>
      <w:jc w:val="center"/>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57" w:type="dxa"/>
        <w:left w:w="57" w:type="dxa"/>
        <w:bottom w:w="57" w:type="dxa"/>
        <w:right w:w="57" w:type="dxa"/>
      </w:tblCellMar>
    </w:tblPr>
    <w:trPr>
      <w:cantSplit/>
      <w:jc w:val="center"/>
    </w:trPr>
    <w:tcPr>
      <w:vAlign w:val="center"/>
    </w:tcPr>
    <w:tblStylePr w:type="firstRow">
      <w:pPr>
        <w:spacing w:before="0" w:after="0" w:line="240" w:lineRule="auto"/>
        <w:jc w:val="center"/>
      </w:pPr>
      <w:rPr>
        <w:rFonts w:asciiTheme="majorHAnsi" w:hAnsiTheme="majorHAnsi"/>
        <w:b w:val="0"/>
        <w:bCs/>
        <w:color w:val="FFFFFF" w:themeColor="background1"/>
        <w:sz w:val="24"/>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000000" w:themeFill="text1"/>
        <w:vAlign w:val="center"/>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Pr/>
      <w:tcPr>
        <w:tcBorders>
          <w:top w:val="nil"/>
          <w:left w:val="nil"/>
          <w:bottom w:val="single" w:sz="8" w:space="0" w:color="CEC5A7" w:themeColor="accent6"/>
          <w:right w:val="nil"/>
          <w:insideH w:val="single" w:sz="8" w:space="0" w:color="CEC5A7" w:themeColor="accent6"/>
          <w:insideV w:val="nil"/>
          <w:tl2br w:val="nil"/>
          <w:tr2bl w:val="nil"/>
        </w:tcBorders>
      </w:tcPr>
    </w:tblStylePr>
    <w:tblStylePr w:type="lastCol">
      <w:rPr>
        <w:b/>
        <w:bCs/>
      </w:rPr>
      <w:tblPr/>
      <w:tcPr>
        <w:tcBorders>
          <w:top w:val="nil"/>
          <w:left w:val="nil"/>
          <w:bottom w:val="single" w:sz="8" w:space="0" w:color="CEC5A7" w:themeColor="accent6"/>
          <w:right w:val="nil"/>
          <w:insideH w:val="single" w:sz="8" w:space="0" w:color="CEC5A7" w:themeColor="accent6"/>
          <w:insideV w:val="nil"/>
          <w:tl2br w:val="nil"/>
          <w:tr2bl w:val="nil"/>
        </w:tcBorders>
      </w:tcPr>
    </w:tblStylePr>
    <w:tblStylePr w:type="band1Vert">
      <w:tblPr/>
      <w:tcPr>
        <w:tcBorders>
          <w:top w:val="nil"/>
          <w:left w:val="nil"/>
          <w:bottom w:val="single" w:sz="8" w:space="0" w:color="CEC5A7" w:themeColor="accent6"/>
          <w:right w:val="nil"/>
          <w:insideH w:val="single" w:sz="8" w:space="0" w:color="CEC5A7" w:themeColor="accent6"/>
          <w:insideV w:val="nil"/>
          <w:tl2br w:val="nil"/>
          <w:tr2bl w:val="nil"/>
        </w:tcBorders>
      </w:tcPr>
    </w:tblStylePr>
    <w:tblStylePr w:type="band2Vert">
      <w:tblPr/>
      <w:tcPr>
        <w:tcBorders>
          <w:top w:val="nil"/>
          <w:left w:val="nil"/>
          <w:bottom w:val="nil"/>
          <w:right w:val="nil"/>
          <w:insideH w:val="single" w:sz="4" w:space="0" w:color="CEC5A7" w:themeColor="accent6"/>
          <w:insideV w:val="nil"/>
          <w:tl2br w:val="nil"/>
          <w:tr2bl w:val="nil"/>
        </w:tcBorders>
      </w:tcPr>
    </w:tblStylePr>
    <w:tblStylePr w:type="band2Horz">
      <w:tblPr/>
      <w:tcPr>
        <w:shd w:val="clear" w:color="auto" w:fill="F6F5F0"/>
      </w:tcPr>
    </w:tblStylePr>
  </w:style>
  <w:style w:type="character" w:customStyle="1" w:styleId="Titre1Car">
    <w:name w:val="Titre 1 Car"/>
    <w:basedOn w:val="Policepardfaut"/>
    <w:link w:val="Titre1"/>
    <w:uiPriority w:val="4"/>
    <w:rsid w:val="00A576FF"/>
    <w:rPr>
      <w:rFonts w:ascii="Roboto Medium" w:eastAsiaTheme="majorEastAsia" w:hAnsi="Roboto Medium" w:cstheme="minorHAnsi"/>
      <w:bCs/>
      <w:caps/>
      <w:noProof/>
      <w:color w:val="24356D"/>
      <w:sz w:val="24"/>
      <w:szCs w:val="24"/>
    </w:rPr>
  </w:style>
  <w:style w:type="paragraph" w:customStyle="1" w:styleId="Question1">
    <w:name w:val="Question 1"/>
    <w:link w:val="Question1Car"/>
    <w:qFormat/>
    <w:rsid w:val="00A576FF"/>
    <w:pPr>
      <w:ind w:left="720" w:hanging="360"/>
      <w:jc w:val="both"/>
    </w:pPr>
    <w:rPr>
      <w:rFonts w:ascii="Roboto" w:eastAsiaTheme="majorEastAsia" w:hAnsi="Roboto" w:cstheme="minorHAnsi"/>
      <w:bCs/>
      <w:sz w:val="18"/>
      <w:szCs w:val="24"/>
    </w:rPr>
  </w:style>
  <w:style w:type="character" w:customStyle="1" w:styleId="Question1Car">
    <w:name w:val="Question 1 Car"/>
    <w:basedOn w:val="Titre1Car"/>
    <w:link w:val="Question1"/>
    <w:rsid w:val="00A576FF"/>
    <w:rPr>
      <w:rFonts w:ascii="Roboto" w:eastAsiaTheme="majorEastAsia" w:hAnsi="Roboto" w:cstheme="minorHAnsi"/>
      <w:bCs/>
      <w:caps w:val="0"/>
      <w:noProof/>
      <w:color w:val="24356D"/>
      <w:sz w:val="18"/>
      <w:szCs w:val="24"/>
    </w:rPr>
  </w:style>
  <w:style w:type="paragraph" w:customStyle="1" w:styleId="Question2">
    <w:name w:val="Question 2"/>
    <w:basedOn w:val="Question1"/>
    <w:link w:val="Question2Car"/>
    <w:qFormat/>
    <w:rsid w:val="00A576FF"/>
    <w:pPr>
      <w:ind w:left="1134"/>
    </w:pPr>
  </w:style>
  <w:style w:type="character" w:customStyle="1" w:styleId="Question2Car">
    <w:name w:val="Question 2 Car"/>
    <w:basedOn w:val="Question1Car"/>
    <w:link w:val="Question2"/>
    <w:rsid w:val="00A576FF"/>
    <w:rPr>
      <w:rFonts w:ascii="Roboto" w:eastAsiaTheme="majorEastAsia" w:hAnsi="Roboto" w:cstheme="minorHAnsi"/>
      <w:bCs/>
      <w:caps w:val="0"/>
      <w:noProof/>
      <w:color w:val="24356D"/>
      <w:sz w:val="18"/>
      <w:szCs w:val="24"/>
    </w:rPr>
  </w:style>
  <w:style w:type="paragraph" w:styleId="Titre">
    <w:name w:val="Title"/>
    <w:aliases w:val="Type du document"/>
    <w:next w:val="Normal"/>
    <w:link w:val="TitreCar"/>
    <w:uiPriority w:val="1"/>
    <w:qFormat/>
    <w:rsid w:val="00A576FF"/>
    <w:pPr>
      <w:spacing w:before="240"/>
    </w:pPr>
    <w:rPr>
      <w:rFonts w:ascii="Roboto Medium" w:eastAsiaTheme="majorEastAsia" w:hAnsi="Roboto Medium" w:cstheme="majorBidi"/>
      <w:color w:val="24356D"/>
      <w:spacing w:val="5"/>
      <w:kern w:val="28"/>
      <w:sz w:val="24"/>
      <w:szCs w:val="52"/>
    </w:rPr>
  </w:style>
  <w:style w:type="character" w:customStyle="1" w:styleId="TitreCar">
    <w:name w:val="Titre Car"/>
    <w:aliases w:val="Type du document Car"/>
    <w:basedOn w:val="Policepardfaut"/>
    <w:link w:val="Titre"/>
    <w:uiPriority w:val="1"/>
    <w:rsid w:val="00A576FF"/>
    <w:rPr>
      <w:rFonts w:ascii="Roboto Medium" w:eastAsiaTheme="majorEastAsia" w:hAnsi="Roboto Medium" w:cstheme="majorBidi"/>
      <w:color w:val="24356D"/>
      <w:spacing w:val="5"/>
      <w:kern w:val="28"/>
      <w:sz w:val="24"/>
      <w:szCs w:val="52"/>
    </w:rPr>
  </w:style>
  <w:style w:type="character" w:customStyle="1" w:styleId="Absatz-Standardschriftart">
    <w:name w:val="Absatz-Standardschriftart"/>
    <w:rsid w:val="00A8513C"/>
  </w:style>
  <w:style w:type="character" w:customStyle="1" w:styleId="WW-Absatz-Standardschriftart">
    <w:name w:val="WW-Absatz-Standardschriftart"/>
    <w:rsid w:val="00A8513C"/>
  </w:style>
  <w:style w:type="character" w:customStyle="1" w:styleId="WW-Absatz-Standardschriftart1">
    <w:name w:val="WW-Absatz-Standardschriftart1"/>
    <w:rsid w:val="00A8513C"/>
  </w:style>
  <w:style w:type="character" w:customStyle="1" w:styleId="WW-Absatz-Standardschriftart11">
    <w:name w:val="WW-Absatz-Standardschriftart11"/>
    <w:rsid w:val="00A8513C"/>
  </w:style>
  <w:style w:type="character" w:customStyle="1" w:styleId="WW8Num1z0">
    <w:name w:val="WW8Num1z0"/>
    <w:rsid w:val="00A8513C"/>
    <w:rPr>
      <w:rFonts w:ascii="Times New Roman" w:eastAsia="Times New Roman" w:hAnsi="Times New Roman" w:cs="Times New Roman"/>
    </w:rPr>
  </w:style>
  <w:style w:type="character" w:customStyle="1" w:styleId="WW8Num1z1">
    <w:name w:val="WW8Num1z1"/>
    <w:rsid w:val="00A8513C"/>
    <w:rPr>
      <w:rFonts w:ascii="Courier New" w:hAnsi="Courier New"/>
    </w:rPr>
  </w:style>
  <w:style w:type="character" w:customStyle="1" w:styleId="WW8Num1z2">
    <w:name w:val="WW8Num1z2"/>
    <w:rsid w:val="00A8513C"/>
    <w:rPr>
      <w:rFonts w:ascii="Wingdings" w:hAnsi="Wingdings"/>
    </w:rPr>
  </w:style>
  <w:style w:type="character" w:customStyle="1" w:styleId="WW8Num1z3">
    <w:name w:val="WW8Num1z3"/>
    <w:rsid w:val="00A8513C"/>
    <w:rPr>
      <w:rFonts w:ascii="Symbol" w:hAnsi="Symbol"/>
    </w:rPr>
  </w:style>
  <w:style w:type="character" w:customStyle="1" w:styleId="WW8Num2z0">
    <w:name w:val="WW8Num2z0"/>
    <w:rsid w:val="00A8513C"/>
    <w:rPr>
      <w:rFonts w:ascii="Times New Roman" w:hAnsi="Times New Roman" w:cs="Times New Roman"/>
    </w:rPr>
  </w:style>
  <w:style w:type="character" w:customStyle="1" w:styleId="WW8Num3z0">
    <w:name w:val="WW8Num3z0"/>
    <w:rsid w:val="00A8513C"/>
    <w:rPr>
      <w:rFonts w:ascii="Times New Roman" w:eastAsia="Times New Roman" w:hAnsi="Times New Roman" w:cs="Times New Roman"/>
    </w:rPr>
  </w:style>
  <w:style w:type="character" w:customStyle="1" w:styleId="WW8Num3z1">
    <w:name w:val="WW8Num3z1"/>
    <w:rsid w:val="00A8513C"/>
    <w:rPr>
      <w:rFonts w:ascii="Courier New" w:hAnsi="Courier New"/>
    </w:rPr>
  </w:style>
  <w:style w:type="character" w:customStyle="1" w:styleId="WW8Num3z2">
    <w:name w:val="WW8Num3z2"/>
    <w:rsid w:val="00A8513C"/>
    <w:rPr>
      <w:rFonts w:ascii="Wingdings" w:hAnsi="Wingdings"/>
    </w:rPr>
  </w:style>
  <w:style w:type="character" w:customStyle="1" w:styleId="WW8Num3z3">
    <w:name w:val="WW8Num3z3"/>
    <w:rsid w:val="00A8513C"/>
    <w:rPr>
      <w:rFonts w:ascii="Symbol" w:hAnsi="Symbol"/>
    </w:rPr>
  </w:style>
  <w:style w:type="character" w:customStyle="1" w:styleId="WW8Num4z0">
    <w:name w:val="WW8Num4z0"/>
    <w:rsid w:val="00A8513C"/>
    <w:rPr>
      <w:rFonts w:ascii="Times New Roman" w:eastAsia="Times New Roman" w:hAnsi="Times New Roman" w:cs="Times New Roman"/>
    </w:rPr>
  </w:style>
  <w:style w:type="character" w:customStyle="1" w:styleId="WW8Num4z1">
    <w:name w:val="WW8Num4z1"/>
    <w:rsid w:val="00A8513C"/>
    <w:rPr>
      <w:rFonts w:ascii="Courier New" w:hAnsi="Courier New"/>
    </w:rPr>
  </w:style>
  <w:style w:type="character" w:customStyle="1" w:styleId="WW8Num4z2">
    <w:name w:val="WW8Num4z2"/>
    <w:rsid w:val="00A8513C"/>
    <w:rPr>
      <w:rFonts w:ascii="Wingdings" w:hAnsi="Wingdings"/>
    </w:rPr>
  </w:style>
  <w:style w:type="character" w:customStyle="1" w:styleId="WW8Num4z3">
    <w:name w:val="WW8Num4z3"/>
    <w:rsid w:val="00A8513C"/>
    <w:rPr>
      <w:rFonts w:ascii="Symbol" w:hAnsi="Symbol"/>
    </w:rPr>
  </w:style>
  <w:style w:type="character" w:customStyle="1" w:styleId="BalloonTextChar">
    <w:name w:val="Balloon Text Char"/>
    <w:rsid w:val="00A8513C"/>
    <w:rPr>
      <w:rFonts w:ascii="Tahoma" w:hAnsi="Tahoma" w:cs="Tahoma"/>
      <w:sz w:val="16"/>
      <w:szCs w:val="16"/>
    </w:rPr>
  </w:style>
  <w:style w:type="character" w:customStyle="1" w:styleId="HeaderChar">
    <w:name w:val="Header Char"/>
    <w:rsid w:val="00A8513C"/>
    <w:rPr>
      <w:rFonts w:ascii="Times New Roman" w:hAnsi="Times New Roman" w:cs="Times New Roman"/>
    </w:rPr>
  </w:style>
  <w:style w:type="character" w:customStyle="1" w:styleId="FooterChar">
    <w:name w:val="Footer Char"/>
    <w:rsid w:val="00A8513C"/>
    <w:rPr>
      <w:rFonts w:ascii="Times New Roman" w:hAnsi="Times New Roman" w:cs="Times New Roman"/>
    </w:rPr>
  </w:style>
  <w:style w:type="paragraph" w:customStyle="1" w:styleId="Index">
    <w:name w:val="Index"/>
    <w:basedOn w:val="Normal"/>
    <w:rsid w:val="00A8513C"/>
    <w:pPr>
      <w:suppressLineNumbers/>
    </w:pPr>
    <w:rPr>
      <w:rFonts w:ascii="Liberation Sans" w:hAnsi="Liberation Sans" w:cs="Tahoma"/>
    </w:rPr>
  </w:style>
  <w:style w:type="paragraph" w:customStyle="1" w:styleId="Textedebulles1">
    <w:name w:val="Texte de bulles1"/>
    <w:basedOn w:val="Normal"/>
    <w:rsid w:val="00A8513C"/>
    <w:rPr>
      <w:rFonts w:ascii="Tahoma" w:hAnsi="Tahoma" w:cs="Tahoma"/>
      <w:sz w:val="16"/>
      <w:szCs w:val="16"/>
    </w:rPr>
  </w:style>
  <w:style w:type="paragraph" w:customStyle="1" w:styleId="Paragraphedeliste1">
    <w:name w:val="Paragraphe de liste1"/>
    <w:basedOn w:val="Normal"/>
    <w:rsid w:val="00A8513C"/>
    <w:pPr>
      <w:ind w:left="720"/>
    </w:pPr>
  </w:style>
  <w:style w:type="paragraph" w:customStyle="1" w:styleId="Default">
    <w:name w:val="Default"/>
    <w:rsid w:val="00A8513C"/>
    <w:pPr>
      <w:autoSpaceDE w:val="0"/>
      <w:autoSpaceDN w:val="0"/>
      <w:adjustRightInd w:val="0"/>
    </w:pPr>
    <w:rPr>
      <w:rFonts w:ascii="Calibri" w:hAnsi="Calibri" w:cs="Calibri"/>
      <w:color w:val="000000"/>
      <w:sz w:val="24"/>
      <w:szCs w:val="24"/>
    </w:rPr>
  </w:style>
  <w:style w:type="paragraph" w:customStyle="1" w:styleId="puce">
    <w:name w:val="puce"/>
    <w:basedOn w:val="Normal"/>
    <w:rsid w:val="00A8513C"/>
    <w:pPr>
      <w:numPr>
        <w:numId w:val="1"/>
      </w:numPr>
    </w:pPr>
  </w:style>
  <w:style w:type="character" w:customStyle="1" w:styleId="Titre4Car">
    <w:name w:val="Titre 4 Car"/>
    <w:basedOn w:val="Policepardfaut"/>
    <w:link w:val="Titre4"/>
    <w:uiPriority w:val="4"/>
    <w:rsid w:val="00A576FF"/>
    <w:rPr>
      <w:rFonts w:ascii="Roboto" w:eastAsiaTheme="majorEastAsia" w:hAnsi="Roboto" w:cstheme="majorBidi"/>
      <w:bCs/>
      <w:iCs/>
      <w:color w:val="24356D"/>
      <w:sz w:val="19"/>
    </w:rPr>
  </w:style>
  <w:style w:type="character" w:customStyle="1" w:styleId="Titre5Car">
    <w:name w:val="Titre 5 Car"/>
    <w:basedOn w:val="Policepardfaut"/>
    <w:link w:val="Titre5"/>
    <w:uiPriority w:val="4"/>
    <w:rsid w:val="00A576FF"/>
    <w:rPr>
      <w:rFonts w:ascii="Roboto" w:eastAsiaTheme="majorEastAsia" w:hAnsi="Roboto" w:cstheme="majorBidi"/>
      <w:color w:val="24356D"/>
      <w:spacing w:val="-4"/>
      <w:sz w:val="21"/>
    </w:rPr>
  </w:style>
  <w:style w:type="paragraph" w:styleId="En-tte">
    <w:name w:val="header"/>
    <w:basedOn w:val="Normal"/>
    <w:link w:val="En-tteCar"/>
    <w:semiHidden/>
    <w:rsid w:val="00A8513C"/>
    <w:pPr>
      <w:tabs>
        <w:tab w:val="center" w:pos="4536"/>
        <w:tab w:val="right" w:pos="9072"/>
      </w:tabs>
    </w:pPr>
  </w:style>
  <w:style w:type="character" w:customStyle="1" w:styleId="En-tteCar">
    <w:name w:val="En-tête Car"/>
    <w:basedOn w:val="Policepardfaut"/>
    <w:link w:val="En-tte"/>
    <w:semiHidden/>
    <w:rsid w:val="00A8513C"/>
  </w:style>
  <w:style w:type="paragraph" w:styleId="Pieddepage">
    <w:name w:val="footer"/>
    <w:basedOn w:val="Normal"/>
    <w:link w:val="PieddepageCar"/>
    <w:uiPriority w:val="99"/>
    <w:rsid w:val="00A8513C"/>
    <w:pPr>
      <w:tabs>
        <w:tab w:val="center" w:pos="4536"/>
        <w:tab w:val="right" w:pos="9072"/>
      </w:tabs>
    </w:pPr>
  </w:style>
  <w:style w:type="character" w:customStyle="1" w:styleId="PieddepageCar">
    <w:name w:val="Pied de page Car"/>
    <w:link w:val="Pieddepage"/>
    <w:uiPriority w:val="99"/>
    <w:rsid w:val="00A8513C"/>
  </w:style>
  <w:style w:type="paragraph" w:styleId="Lgende">
    <w:name w:val="caption"/>
    <w:basedOn w:val="Normal"/>
    <w:uiPriority w:val="35"/>
    <w:semiHidden/>
    <w:unhideWhenUsed/>
    <w:qFormat/>
    <w:rsid w:val="00A8513C"/>
    <w:pPr>
      <w:spacing w:after="200"/>
    </w:pPr>
    <w:rPr>
      <w:rFonts w:cs="Tahoma"/>
      <w:b/>
      <w:bCs/>
      <w:color w:val="098AA5" w:themeColor="accent1"/>
      <w:sz w:val="18"/>
      <w:szCs w:val="18"/>
    </w:rPr>
  </w:style>
  <w:style w:type="paragraph" w:styleId="Liste">
    <w:name w:val="List"/>
    <w:basedOn w:val="Corpsdetexte"/>
    <w:semiHidden/>
    <w:rsid w:val="00A8513C"/>
    <w:rPr>
      <w:rFonts w:ascii="Liberation Sans" w:hAnsi="Liberation Sans" w:cs="Tahoma"/>
    </w:rPr>
  </w:style>
  <w:style w:type="paragraph" w:styleId="Corpsdetexte">
    <w:name w:val="Body Text"/>
    <w:basedOn w:val="Normal"/>
    <w:link w:val="CorpsdetexteCar"/>
    <w:semiHidden/>
    <w:rsid w:val="00A8513C"/>
    <w:pPr>
      <w:spacing w:after="280"/>
    </w:pPr>
  </w:style>
  <w:style w:type="character" w:customStyle="1" w:styleId="CorpsdetexteCar">
    <w:name w:val="Corps de texte Car"/>
    <w:basedOn w:val="Policepardfaut"/>
    <w:link w:val="Corpsdetexte"/>
    <w:semiHidden/>
    <w:rsid w:val="00A8513C"/>
  </w:style>
  <w:style w:type="paragraph" w:styleId="Sous-titre">
    <w:name w:val="Subtitle"/>
    <w:aliases w:val="Titre document"/>
    <w:basedOn w:val="Titre"/>
    <w:next w:val="Normal"/>
    <w:link w:val="Sous-titreCar"/>
    <w:uiPriority w:val="11"/>
    <w:qFormat/>
    <w:rsid w:val="00A576FF"/>
    <w:pPr>
      <w:spacing w:before="120" w:after="480" w:line="240" w:lineRule="auto"/>
    </w:pPr>
    <w:rPr>
      <w:b/>
    </w:rPr>
  </w:style>
  <w:style w:type="character" w:customStyle="1" w:styleId="Sous-titreCar">
    <w:name w:val="Sous-titre Car"/>
    <w:aliases w:val="Titre document Car"/>
    <w:basedOn w:val="Policepardfaut"/>
    <w:link w:val="Sous-titre"/>
    <w:uiPriority w:val="11"/>
    <w:rsid w:val="00A576FF"/>
    <w:rPr>
      <w:rFonts w:ascii="Roboto Medium" w:eastAsiaTheme="majorEastAsia" w:hAnsi="Roboto Medium" w:cstheme="majorBidi"/>
      <w:b/>
      <w:color w:val="24356D"/>
      <w:spacing w:val="5"/>
      <w:kern w:val="28"/>
      <w:sz w:val="24"/>
      <w:szCs w:val="52"/>
    </w:rPr>
  </w:style>
  <w:style w:type="character" w:styleId="lev">
    <w:name w:val="Strong"/>
    <w:uiPriority w:val="22"/>
    <w:qFormat/>
    <w:rsid w:val="00A576FF"/>
    <w:rPr>
      <w:rFonts w:ascii="Roboto" w:hAnsi="Roboto"/>
      <w:b/>
      <w:bCs/>
    </w:rPr>
  </w:style>
  <w:style w:type="paragraph" w:styleId="Textedebulles">
    <w:name w:val="Balloon Text"/>
    <w:basedOn w:val="Normal"/>
    <w:link w:val="TextedebullesCar"/>
    <w:uiPriority w:val="99"/>
    <w:semiHidden/>
    <w:unhideWhenUsed/>
    <w:rsid w:val="00A8513C"/>
    <w:rPr>
      <w:rFonts w:ascii="Tahoma" w:hAnsi="Tahoma" w:cs="Tahoma"/>
      <w:sz w:val="16"/>
      <w:szCs w:val="16"/>
    </w:rPr>
  </w:style>
  <w:style w:type="character" w:customStyle="1" w:styleId="TextedebullesCar">
    <w:name w:val="Texte de bulles Car"/>
    <w:link w:val="Textedebulles"/>
    <w:uiPriority w:val="99"/>
    <w:semiHidden/>
    <w:rsid w:val="00A8513C"/>
    <w:rPr>
      <w:rFonts w:ascii="Tahoma" w:hAnsi="Tahoma" w:cs="Tahoma"/>
      <w:sz w:val="16"/>
      <w:szCs w:val="16"/>
    </w:rPr>
  </w:style>
  <w:style w:type="paragraph" w:styleId="Paragraphedeliste">
    <w:name w:val="List Paragraph"/>
    <w:basedOn w:val="Normal"/>
    <w:link w:val="ParagraphedelisteCar"/>
    <w:uiPriority w:val="34"/>
    <w:qFormat/>
    <w:rsid w:val="00A576FF"/>
  </w:style>
  <w:style w:type="character" w:styleId="Accentuationlgre">
    <w:name w:val="Subtle Emphasis"/>
    <w:basedOn w:val="Policepardfaut"/>
    <w:uiPriority w:val="19"/>
    <w:qFormat/>
    <w:rsid w:val="00A576FF"/>
    <w:rPr>
      <w:rFonts w:ascii="Roboto Light" w:hAnsi="Roboto Light"/>
      <w:b w:val="0"/>
      <w:i w:val="0"/>
      <w:iCs/>
      <w:color w:val="24356D"/>
    </w:rPr>
  </w:style>
  <w:style w:type="table" w:styleId="Grillemoyenne2-Accent6">
    <w:name w:val="Medium Grid 2 Accent 6"/>
    <w:basedOn w:val="TableauNormal"/>
    <w:uiPriority w:val="68"/>
    <w:rsid w:val="00940700"/>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EC5A7" w:themeColor="accent6"/>
        <w:left w:val="single" w:sz="8" w:space="0" w:color="CEC5A7" w:themeColor="accent6"/>
        <w:bottom w:val="single" w:sz="8" w:space="0" w:color="CEC5A7" w:themeColor="accent6"/>
        <w:right w:val="single" w:sz="8" w:space="0" w:color="CEC5A7" w:themeColor="accent6"/>
        <w:insideH w:val="single" w:sz="8" w:space="0" w:color="CEC5A7" w:themeColor="accent6"/>
        <w:insideV w:val="single" w:sz="8" w:space="0" w:color="CEC5A7" w:themeColor="accent6"/>
      </w:tblBorders>
    </w:tblPr>
    <w:tcPr>
      <w:shd w:val="clear" w:color="auto" w:fill="F2F0E9" w:themeFill="accent6" w:themeFillTint="3F"/>
      <w:vAlign w:val="center"/>
    </w:tcPr>
    <w:tblStylePr w:type="firstRow">
      <w:rPr>
        <w:b/>
        <w:bCs/>
        <w:color w:val="000000" w:themeColor="text1"/>
      </w:rPr>
      <w:tblPr/>
      <w:tcPr>
        <w:shd w:val="clear" w:color="auto" w:fill="FAF9F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F3ED" w:themeFill="accent6" w:themeFillTint="33"/>
      </w:tcPr>
    </w:tblStylePr>
    <w:tblStylePr w:type="band1Vert">
      <w:tblPr/>
      <w:tcPr>
        <w:shd w:val="clear" w:color="auto" w:fill="E6E2D3" w:themeFill="accent6" w:themeFillTint="7F"/>
      </w:tcPr>
    </w:tblStylePr>
    <w:tblStylePr w:type="band1Horz">
      <w:tblPr/>
      <w:tcPr>
        <w:tcBorders>
          <w:insideH w:val="single" w:sz="6" w:space="0" w:color="CEC5A7" w:themeColor="accent6"/>
          <w:insideV w:val="single" w:sz="6" w:space="0" w:color="CEC5A7" w:themeColor="accent6"/>
        </w:tcBorders>
        <w:shd w:val="clear" w:color="auto" w:fill="E6E2D3" w:themeFill="accent6" w:themeFillTint="7F"/>
      </w:tcPr>
    </w:tblStylePr>
    <w:tblStylePr w:type="nwCell">
      <w:tblPr/>
      <w:tcPr>
        <w:shd w:val="clear" w:color="auto" w:fill="FFFFFF" w:themeFill="background1"/>
      </w:tcPr>
    </w:tblStylePr>
  </w:style>
  <w:style w:type="table" w:styleId="Grilledutableau">
    <w:name w:val="Table Grid"/>
    <w:basedOn w:val="TableauNormal"/>
    <w:uiPriority w:val="39"/>
    <w:rsid w:val="005C1C51"/>
    <w:pPr>
      <w:spacing w:before="120" w:after="120" w:line="240" w:lineRule="auto"/>
    </w:pPr>
    <w:rPr>
      <w:rFonts w:asciiTheme="minorHAnsi" w:eastAsiaTheme="minorEastAsia" w:hAnsiTheme="minorHAnsi" w:cstheme="minorBidi"/>
      <w:sz w:val="22"/>
      <w:szCs w:val="22"/>
    </w:rPr>
    <w:tblPr>
      <w:tblStyleRowBandSize w:val="1"/>
      <w:tblStyleColBandSize w:val="1"/>
      <w:tblBorders>
        <w:top w:val="single" w:sz="4" w:space="0" w:color="878787" w:themeColor="text2"/>
        <w:left w:val="single" w:sz="4" w:space="0" w:color="878787" w:themeColor="text2"/>
        <w:bottom w:val="single" w:sz="4" w:space="0" w:color="878787" w:themeColor="text2"/>
        <w:right w:val="single" w:sz="4" w:space="0" w:color="878787" w:themeColor="text2"/>
        <w:insideH w:val="single" w:sz="4" w:space="0" w:color="878787" w:themeColor="text2"/>
        <w:insideV w:val="single" w:sz="4" w:space="0" w:color="878787" w:themeColor="text2"/>
      </w:tblBorders>
    </w:tblPr>
    <w:tcPr>
      <w:tcMar>
        <w:top w:w="85" w:type="dxa"/>
        <w:left w:w="170" w:type="dxa"/>
        <w:bottom w:w="85" w:type="dxa"/>
        <w:right w:w="170" w:type="dxa"/>
      </w:tcMar>
      <w:vAlign w:val="center"/>
    </w:tcPr>
    <w:tblStylePr w:type="firstRow">
      <w:pPr>
        <w:wordWrap/>
        <w:jc w:val="left"/>
      </w:pPr>
      <w:rPr>
        <w:b/>
        <w:color w:val="FFFFFF" w:themeColor="background1"/>
      </w:rPr>
      <w:tblPr/>
      <w:tcPr>
        <w:tcBorders>
          <w:top w:val="single" w:sz="4" w:space="0" w:color="878787" w:themeColor="text2"/>
          <w:left w:val="single" w:sz="4" w:space="0" w:color="878787" w:themeColor="text2"/>
          <w:bottom w:val="single" w:sz="4" w:space="0" w:color="878787" w:themeColor="text2"/>
          <w:right w:val="single" w:sz="4" w:space="0" w:color="878787" w:themeColor="text2"/>
          <w:insideH w:val="nil"/>
          <w:insideV w:val="single" w:sz="4" w:space="0" w:color="878787" w:themeColor="text2"/>
          <w:tl2br w:val="nil"/>
          <w:tr2bl w:val="nil"/>
        </w:tcBorders>
        <w:shd w:val="clear" w:color="auto" w:fill="878787" w:themeFill="text2"/>
      </w:tcPr>
    </w:tblStylePr>
    <w:tblStylePr w:type="firstCol">
      <w:rPr>
        <w:b/>
        <w:color w:val="auto"/>
      </w:rPr>
      <w:tblPr/>
      <w:tcPr>
        <w:tcBorders>
          <w:top w:val="single" w:sz="4" w:space="0" w:color="878787" w:themeColor="text2"/>
          <w:left w:val="single" w:sz="4" w:space="0" w:color="878787" w:themeColor="text2"/>
          <w:bottom w:val="single" w:sz="4" w:space="0" w:color="878787" w:themeColor="text2"/>
          <w:right w:val="single" w:sz="4" w:space="0" w:color="878787" w:themeColor="text2"/>
          <w:insideH w:val="nil"/>
          <w:insideV w:val="nil"/>
          <w:tl2br w:val="nil"/>
          <w:tr2bl w:val="nil"/>
        </w:tcBorders>
        <w:shd w:val="clear" w:color="auto" w:fill="E7E7E7" w:themeFill="text2" w:themeFillTint="33"/>
      </w:tcPr>
    </w:tblStylePr>
    <w:tblStylePr w:type="band1Vert">
      <w:tblPr/>
      <w:tcPr>
        <w:tcBorders>
          <w:top w:val="single" w:sz="4" w:space="0" w:color="878787" w:themeColor="text2"/>
          <w:left w:val="single" w:sz="4" w:space="0" w:color="878787" w:themeColor="text2"/>
          <w:bottom w:val="single" w:sz="4" w:space="0" w:color="878787" w:themeColor="text2"/>
          <w:right w:val="single" w:sz="4" w:space="0" w:color="878787" w:themeColor="text2"/>
          <w:insideH w:val="nil"/>
          <w:insideV w:val="nil"/>
          <w:tl2br w:val="nil"/>
          <w:tr2bl w:val="nil"/>
        </w:tcBorders>
      </w:tcPr>
    </w:tblStylePr>
    <w:tblStylePr w:type="band2Vert">
      <w:tblPr/>
      <w:tcPr>
        <w:tcBorders>
          <w:top w:val="single" w:sz="4" w:space="0" w:color="878787" w:themeColor="text2"/>
          <w:left w:val="single" w:sz="4" w:space="0" w:color="878787" w:themeColor="text2"/>
          <w:bottom w:val="single" w:sz="4" w:space="0" w:color="878787" w:themeColor="text2"/>
          <w:right w:val="single" w:sz="4" w:space="0" w:color="878787" w:themeColor="text2"/>
          <w:insideH w:val="nil"/>
          <w:insideV w:val="nil"/>
          <w:tl2br w:val="nil"/>
          <w:tr2bl w:val="nil"/>
        </w:tcBorders>
      </w:tcPr>
    </w:tblStylePr>
    <w:tblStylePr w:type="band1Horz">
      <w:tblPr/>
      <w:tcPr>
        <w:tcBorders>
          <w:top w:val="single" w:sz="4" w:space="0" w:color="878787" w:themeColor="text2"/>
          <w:left w:val="single" w:sz="4" w:space="0" w:color="878787" w:themeColor="text2"/>
          <w:bottom w:val="single" w:sz="4" w:space="0" w:color="878787" w:themeColor="text2"/>
          <w:right w:val="single" w:sz="4" w:space="0" w:color="878787" w:themeColor="text2"/>
          <w:insideH w:val="single" w:sz="4" w:space="0" w:color="878787" w:themeColor="text2"/>
          <w:insideV w:val="single" w:sz="4" w:space="0" w:color="878787" w:themeColor="text2"/>
          <w:tl2br w:val="nil"/>
          <w:tr2bl w:val="nil"/>
        </w:tcBorders>
      </w:tcPr>
    </w:tblStylePr>
    <w:tblStylePr w:type="band2Horz">
      <w:tblPr/>
      <w:tcPr>
        <w:tcBorders>
          <w:top w:val="single" w:sz="4" w:space="0" w:color="878787" w:themeColor="text2"/>
          <w:left w:val="single" w:sz="4" w:space="0" w:color="878787" w:themeColor="text2"/>
          <w:bottom w:val="single" w:sz="4" w:space="0" w:color="878787" w:themeColor="text2"/>
          <w:right w:val="single" w:sz="4" w:space="0" w:color="878787" w:themeColor="text2"/>
          <w:insideH w:val="single" w:sz="4" w:space="0" w:color="878787" w:themeColor="text2"/>
          <w:insideV w:val="single" w:sz="4" w:space="0" w:color="878787" w:themeColor="text2"/>
          <w:tl2br w:val="nil"/>
          <w:tr2bl w:val="nil"/>
        </w:tcBorders>
      </w:tcPr>
    </w:tblStylePr>
  </w:style>
  <w:style w:type="paragraph" w:customStyle="1" w:styleId="Listetirets">
    <w:name w:val="Liste (tirets)"/>
    <w:basedOn w:val="Paragraphedeliste"/>
    <w:qFormat/>
    <w:rsid w:val="00A576FF"/>
    <w:pPr>
      <w:numPr>
        <w:numId w:val="2"/>
      </w:numPr>
    </w:pPr>
    <w:rPr>
      <w:color w:val="24356D"/>
    </w:rPr>
  </w:style>
  <w:style w:type="paragraph" w:styleId="TM3">
    <w:name w:val="toc 3"/>
    <w:basedOn w:val="Normal"/>
    <w:next w:val="Normal"/>
    <w:autoRedefine/>
    <w:uiPriority w:val="39"/>
    <w:unhideWhenUsed/>
    <w:rsid w:val="00A576FF"/>
    <w:pPr>
      <w:tabs>
        <w:tab w:val="right" w:leader="dot" w:pos="8789"/>
      </w:tabs>
      <w:spacing w:after="100"/>
      <w:ind w:left="1219" w:right="567" w:hanging="595"/>
      <w:jc w:val="left"/>
    </w:pPr>
    <w:rPr>
      <w:noProof/>
    </w:rPr>
  </w:style>
  <w:style w:type="paragraph" w:customStyle="1" w:styleId="Listeavis">
    <w:name w:val="Liste (avis)"/>
    <w:basedOn w:val="Listetirets"/>
    <w:qFormat/>
    <w:rsid w:val="00A576FF"/>
    <w:pPr>
      <w:numPr>
        <w:numId w:val="3"/>
      </w:numPr>
    </w:pPr>
    <w:rPr>
      <w:color w:val="000000" w:themeColor="text1"/>
    </w:rPr>
  </w:style>
  <w:style w:type="character" w:styleId="Lienhypertexte">
    <w:name w:val="Hyperlink"/>
    <w:basedOn w:val="Policepardfaut"/>
    <w:uiPriority w:val="99"/>
    <w:unhideWhenUsed/>
    <w:rsid w:val="00EA7F75"/>
    <w:rPr>
      <w:color w:val="6C8A99" w:themeColor="hyperlink"/>
      <w:u w:val="single"/>
    </w:rPr>
  </w:style>
  <w:style w:type="paragraph" w:styleId="TM1">
    <w:name w:val="toc 1"/>
    <w:basedOn w:val="Normal"/>
    <w:next w:val="Normal"/>
    <w:autoRedefine/>
    <w:uiPriority w:val="39"/>
    <w:unhideWhenUsed/>
    <w:rsid w:val="00A576FF"/>
    <w:pPr>
      <w:tabs>
        <w:tab w:val="right" w:leader="dot" w:pos="8789"/>
      </w:tabs>
      <w:spacing w:after="100"/>
    </w:pPr>
    <w:rPr>
      <w:caps/>
    </w:rPr>
  </w:style>
  <w:style w:type="paragraph" w:styleId="TM2">
    <w:name w:val="toc 2"/>
    <w:basedOn w:val="Normal"/>
    <w:next w:val="Normal"/>
    <w:autoRedefine/>
    <w:uiPriority w:val="39"/>
    <w:unhideWhenUsed/>
    <w:rsid w:val="00A576FF"/>
    <w:pPr>
      <w:tabs>
        <w:tab w:val="left" w:pos="1219"/>
        <w:tab w:val="right" w:leader="dot" w:pos="8789"/>
      </w:tabs>
      <w:spacing w:after="100"/>
      <w:ind w:left="454" w:hanging="227"/>
    </w:pPr>
  </w:style>
  <w:style w:type="paragraph" w:customStyle="1" w:styleId="Encadr">
    <w:name w:val="Encadré"/>
    <w:basedOn w:val="Normal"/>
    <w:qFormat/>
    <w:rsid w:val="00A576FF"/>
    <w:pPr>
      <w:pBdr>
        <w:top w:val="single" w:sz="18" w:space="7" w:color="CBCAC8" w:themeColor="background2"/>
        <w:bottom w:val="single" w:sz="18" w:space="7" w:color="CBCAC8" w:themeColor="background2"/>
      </w:pBdr>
      <w:spacing w:before="360" w:after="360"/>
      <w:contextualSpacing/>
    </w:pPr>
    <w:rPr>
      <w:rFonts w:ascii="Roboto Bold Condensed" w:hAnsi="Roboto Bold Condensed"/>
      <w:b/>
      <w:i/>
      <w:color w:val="24356D"/>
    </w:rPr>
  </w:style>
  <w:style w:type="paragraph" w:styleId="Notedebasdepage">
    <w:name w:val="footnote text"/>
    <w:aliases w:val="ALTS FOOTNOTE,fn,Footnotes,Footnote ak,FOOTNOTE,Note de bas de page Car5,Note de bas de page Car4 Car,Note de bas de page Car4 Car Car Car Car Car Car Car  Car,Note de bas de page Car4 Car Car,Note de bas de page Car4,footer text"/>
    <w:basedOn w:val="Normal"/>
    <w:link w:val="NotedebasdepageCar"/>
    <w:uiPriority w:val="99"/>
    <w:qFormat/>
    <w:rsid w:val="00E61C45"/>
    <w:pPr>
      <w:spacing w:before="0" w:after="0"/>
    </w:pPr>
    <w:rPr>
      <w:sz w:val="16"/>
    </w:rPr>
  </w:style>
  <w:style w:type="character" w:customStyle="1" w:styleId="NotedebasdepageCar">
    <w:name w:val="Note de bas de page Car"/>
    <w:aliases w:val="ALTS FOOTNOTE Car,fn Car,Footnotes Car,Footnote ak Car,FOOTNOTE Car,Note de bas de page Car5 Car,Note de bas de page Car4 Car Car1,Note de bas de page Car4 Car Car Car Car Car Car Car  Car Car,Note de bas de page Car4 Car Car Car"/>
    <w:basedOn w:val="Policepardfaut"/>
    <w:link w:val="Notedebasdepage"/>
    <w:uiPriority w:val="99"/>
    <w:rsid w:val="00E61C45"/>
    <w:rPr>
      <w:rFonts w:ascii="Franklin Gothic Book" w:hAnsi="Franklin Gothic Book"/>
      <w:sz w:val="16"/>
    </w:rPr>
  </w:style>
  <w:style w:type="character" w:styleId="Appelnotedebasdep">
    <w:name w:val="footnote reference"/>
    <w:aliases w:val="footer number,~FootnoteReference,(NECG) Footnote Reference"/>
    <w:basedOn w:val="Policepardfaut"/>
    <w:uiPriority w:val="99"/>
    <w:unhideWhenUsed/>
    <w:qFormat/>
    <w:rsid w:val="00E61C45"/>
    <w:rPr>
      <w:vertAlign w:val="superscript"/>
    </w:rPr>
  </w:style>
  <w:style w:type="paragraph" w:customStyle="1" w:styleId="Dates">
    <w:name w:val="Dates"/>
    <w:basedOn w:val="Sous-titre"/>
    <w:rsid w:val="007D5C26"/>
    <w:rPr>
      <w:rFonts w:asciiTheme="minorHAnsi" w:hAnsiTheme="minorHAnsi"/>
      <w:color w:val="auto"/>
      <w:sz w:val="21"/>
    </w:rPr>
  </w:style>
  <w:style w:type="paragraph" w:styleId="NormalWeb">
    <w:name w:val="Normal (Web)"/>
    <w:basedOn w:val="Normal"/>
    <w:uiPriority w:val="99"/>
    <w:unhideWhenUsed/>
    <w:rsid w:val="00E54166"/>
    <w:pPr>
      <w:spacing w:before="100" w:beforeAutospacing="1" w:after="100" w:afterAutospacing="1"/>
      <w:jc w:val="left"/>
    </w:pPr>
    <w:rPr>
      <w:rFonts w:ascii="Times New Roman" w:eastAsia="Times New Roman" w:hAnsi="Times New Roman"/>
      <w:sz w:val="24"/>
      <w:szCs w:val="24"/>
    </w:rPr>
  </w:style>
  <w:style w:type="paragraph" w:styleId="TM5">
    <w:name w:val="toc 5"/>
    <w:basedOn w:val="Normal"/>
    <w:next w:val="Normal"/>
    <w:autoRedefine/>
    <w:uiPriority w:val="39"/>
    <w:unhideWhenUsed/>
    <w:rsid w:val="00A576FF"/>
    <w:pPr>
      <w:tabs>
        <w:tab w:val="right" w:leader="dot" w:pos="8789"/>
      </w:tabs>
      <w:spacing w:after="100"/>
      <w:ind w:left="1928"/>
    </w:pPr>
  </w:style>
  <w:style w:type="paragraph" w:styleId="TM4">
    <w:name w:val="toc 4"/>
    <w:basedOn w:val="Normal"/>
    <w:next w:val="Normal"/>
    <w:autoRedefine/>
    <w:uiPriority w:val="39"/>
    <w:unhideWhenUsed/>
    <w:rsid w:val="00A576FF"/>
    <w:pPr>
      <w:tabs>
        <w:tab w:val="right" w:leader="dot" w:pos="8789"/>
      </w:tabs>
      <w:spacing w:after="100"/>
      <w:ind w:left="1191"/>
    </w:pPr>
    <w:rPr>
      <w:rFonts w:ascii="Roboto Medium" w:hAnsi="Roboto Medium"/>
    </w:rPr>
  </w:style>
  <w:style w:type="character" w:styleId="Accentuationintense">
    <w:name w:val="Intense Emphasis"/>
    <w:basedOn w:val="Policepardfaut"/>
    <w:uiPriority w:val="21"/>
    <w:qFormat/>
    <w:rsid w:val="00344351"/>
    <w:rPr>
      <w:rFonts w:ascii="Roboto Thin" w:hAnsi="Roboto Thin"/>
      <w:b/>
      <w:i/>
      <w:iCs/>
      <w:color w:val="263561"/>
    </w:rPr>
  </w:style>
  <w:style w:type="paragraph" w:styleId="Citationintense">
    <w:name w:val="Intense Quote"/>
    <w:basedOn w:val="Normal"/>
    <w:next w:val="Normal"/>
    <w:link w:val="CitationintenseCar"/>
    <w:uiPriority w:val="30"/>
    <w:qFormat/>
    <w:rsid w:val="00344351"/>
    <w:pPr>
      <w:pBdr>
        <w:top w:val="single" w:sz="4" w:space="10" w:color="263561"/>
        <w:bottom w:val="single" w:sz="4" w:space="10" w:color="263561"/>
      </w:pBdr>
      <w:spacing w:before="360" w:after="360"/>
      <w:ind w:left="864" w:right="864"/>
      <w:jc w:val="center"/>
    </w:pPr>
    <w:rPr>
      <w:iCs/>
    </w:rPr>
  </w:style>
  <w:style w:type="character" w:customStyle="1" w:styleId="CitationintenseCar">
    <w:name w:val="Citation intense Car"/>
    <w:basedOn w:val="Policepardfaut"/>
    <w:link w:val="Citationintense"/>
    <w:uiPriority w:val="30"/>
    <w:rsid w:val="00344351"/>
    <w:rPr>
      <w:rFonts w:ascii="Roboto" w:hAnsi="Roboto"/>
      <w:iCs/>
      <w:color w:val="263561"/>
      <w:sz w:val="21"/>
    </w:rPr>
  </w:style>
  <w:style w:type="character" w:styleId="Rfrenceintense">
    <w:name w:val="Intense Reference"/>
    <w:basedOn w:val="Policepardfaut"/>
    <w:uiPriority w:val="32"/>
    <w:qFormat/>
    <w:rsid w:val="00A576FF"/>
    <w:rPr>
      <w:rFonts w:ascii="Roboto Medium" w:hAnsi="Roboto Medium"/>
      <w:b w:val="0"/>
      <w:bCs/>
      <w:i w:val="0"/>
      <w:smallCaps/>
      <w:color w:val="24356D"/>
      <w:spacing w:val="5"/>
    </w:rPr>
  </w:style>
  <w:style w:type="paragraph" w:styleId="Sansinterligne">
    <w:name w:val="No Spacing"/>
    <w:uiPriority w:val="1"/>
    <w:qFormat/>
    <w:rsid w:val="00A576FF"/>
    <w:pPr>
      <w:spacing w:line="240" w:lineRule="auto"/>
      <w:jc w:val="both"/>
    </w:pPr>
    <w:rPr>
      <w:rFonts w:ascii="Roboto" w:hAnsi="Roboto"/>
      <w:sz w:val="21"/>
    </w:rPr>
  </w:style>
  <w:style w:type="character" w:customStyle="1" w:styleId="Titre6Car">
    <w:name w:val="Titre 6 Car"/>
    <w:basedOn w:val="Policepardfaut"/>
    <w:link w:val="Titre6"/>
    <w:uiPriority w:val="9"/>
    <w:semiHidden/>
    <w:rsid w:val="00A576FF"/>
    <w:rPr>
      <w:rFonts w:ascii="Roboto Medium" w:eastAsiaTheme="majorEastAsia" w:hAnsi="Roboto Medium" w:cstheme="majorBidi"/>
      <w:color w:val="24356D"/>
      <w:sz w:val="21"/>
    </w:rPr>
  </w:style>
  <w:style w:type="character" w:styleId="Accentuation">
    <w:name w:val="Emphasis"/>
    <w:basedOn w:val="Policepardfaut"/>
    <w:uiPriority w:val="20"/>
    <w:qFormat/>
    <w:rsid w:val="00A576FF"/>
    <w:rPr>
      <w:rFonts w:ascii="Roboto" w:hAnsi="Roboto"/>
      <w:i/>
      <w:iCs/>
      <w:color w:val="24356D"/>
    </w:rPr>
  </w:style>
  <w:style w:type="paragraph" w:styleId="Citation">
    <w:name w:val="Quote"/>
    <w:basedOn w:val="Normal"/>
    <w:next w:val="Normal"/>
    <w:link w:val="CitationCar"/>
    <w:uiPriority w:val="29"/>
    <w:qFormat/>
    <w:rsid w:val="00A576FF"/>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rsid w:val="00A576FF"/>
    <w:rPr>
      <w:rFonts w:ascii="Roboto" w:hAnsi="Roboto"/>
      <w:i/>
      <w:iCs/>
      <w:color w:val="404040" w:themeColor="text1" w:themeTint="BF"/>
      <w:sz w:val="21"/>
    </w:rPr>
  </w:style>
  <w:style w:type="character" w:styleId="Rfrencelgre">
    <w:name w:val="Subtle Reference"/>
    <w:basedOn w:val="Policepardfaut"/>
    <w:uiPriority w:val="31"/>
    <w:qFormat/>
    <w:rsid w:val="00A576FF"/>
    <w:rPr>
      <w:rFonts w:ascii="Roboto" w:hAnsi="Roboto"/>
      <w:smallCaps/>
      <w:color w:val="5A5A5A" w:themeColor="text1" w:themeTint="A5"/>
    </w:rPr>
  </w:style>
  <w:style w:type="character" w:styleId="Titredulivre">
    <w:name w:val="Book Title"/>
    <w:basedOn w:val="Policepardfaut"/>
    <w:uiPriority w:val="33"/>
    <w:qFormat/>
    <w:rsid w:val="00A576FF"/>
    <w:rPr>
      <w:rFonts w:ascii="Roboto" w:hAnsi="Roboto"/>
      <w:b/>
      <w:bCs/>
      <w:i/>
      <w:iCs/>
      <w:spacing w:val="5"/>
    </w:rPr>
  </w:style>
  <w:style w:type="paragraph" w:styleId="TM6">
    <w:name w:val="toc 6"/>
    <w:basedOn w:val="Normal"/>
    <w:next w:val="Normal"/>
    <w:autoRedefine/>
    <w:uiPriority w:val="39"/>
    <w:semiHidden/>
    <w:unhideWhenUsed/>
    <w:rsid w:val="00A576FF"/>
    <w:pPr>
      <w:tabs>
        <w:tab w:val="right" w:leader="dot" w:pos="8789"/>
      </w:tabs>
      <w:spacing w:after="100"/>
      <w:ind w:left="1050"/>
    </w:pPr>
  </w:style>
  <w:style w:type="paragraph" w:styleId="TM7">
    <w:name w:val="toc 7"/>
    <w:basedOn w:val="Normal"/>
    <w:next w:val="Normal"/>
    <w:autoRedefine/>
    <w:uiPriority w:val="39"/>
    <w:semiHidden/>
    <w:unhideWhenUsed/>
    <w:rsid w:val="00A576FF"/>
    <w:pPr>
      <w:tabs>
        <w:tab w:val="right" w:leader="dot" w:pos="8789"/>
      </w:tabs>
      <w:spacing w:after="100"/>
      <w:ind w:left="1260"/>
    </w:pPr>
  </w:style>
  <w:style w:type="paragraph" w:styleId="TM8">
    <w:name w:val="toc 8"/>
    <w:basedOn w:val="Normal"/>
    <w:next w:val="Normal"/>
    <w:autoRedefine/>
    <w:uiPriority w:val="39"/>
    <w:semiHidden/>
    <w:unhideWhenUsed/>
    <w:rsid w:val="00A576FF"/>
    <w:pPr>
      <w:tabs>
        <w:tab w:val="right" w:leader="dot" w:pos="8789"/>
      </w:tabs>
      <w:spacing w:after="100"/>
      <w:ind w:left="1470"/>
    </w:pPr>
  </w:style>
  <w:style w:type="paragraph" w:styleId="TM9">
    <w:name w:val="toc 9"/>
    <w:basedOn w:val="Normal"/>
    <w:next w:val="Normal"/>
    <w:autoRedefine/>
    <w:uiPriority w:val="39"/>
    <w:semiHidden/>
    <w:unhideWhenUsed/>
    <w:rsid w:val="00A576FF"/>
    <w:pPr>
      <w:tabs>
        <w:tab w:val="right" w:leader="dot" w:pos="8789"/>
      </w:tabs>
      <w:spacing w:after="100"/>
      <w:ind w:left="1680"/>
    </w:pPr>
  </w:style>
  <w:style w:type="character" w:styleId="Mentionnonrsolue">
    <w:name w:val="Unresolved Mention"/>
    <w:basedOn w:val="Policepardfaut"/>
    <w:uiPriority w:val="99"/>
    <w:semiHidden/>
    <w:unhideWhenUsed/>
    <w:rsid w:val="00141E77"/>
    <w:rPr>
      <w:color w:val="605E5C"/>
      <w:shd w:val="clear" w:color="auto" w:fill="E1DFDD"/>
    </w:rPr>
  </w:style>
  <w:style w:type="character" w:styleId="Marquedecommentaire">
    <w:name w:val="annotation reference"/>
    <w:basedOn w:val="Policepardfaut"/>
    <w:uiPriority w:val="99"/>
    <w:unhideWhenUsed/>
    <w:rsid w:val="004A05D5"/>
    <w:rPr>
      <w:sz w:val="16"/>
      <w:szCs w:val="16"/>
    </w:rPr>
  </w:style>
  <w:style w:type="paragraph" w:styleId="Commentaire">
    <w:name w:val="annotation text"/>
    <w:basedOn w:val="Normal"/>
    <w:link w:val="CommentaireCar"/>
    <w:uiPriority w:val="99"/>
    <w:unhideWhenUsed/>
    <w:rsid w:val="004A05D5"/>
    <w:rPr>
      <w:sz w:val="20"/>
    </w:rPr>
  </w:style>
  <w:style w:type="character" w:customStyle="1" w:styleId="CommentaireCar">
    <w:name w:val="Commentaire Car"/>
    <w:basedOn w:val="Policepardfaut"/>
    <w:link w:val="Commentaire"/>
    <w:uiPriority w:val="99"/>
    <w:rsid w:val="004A05D5"/>
    <w:rPr>
      <w:rFonts w:ascii="Roboto" w:hAnsi="Roboto"/>
    </w:rPr>
  </w:style>
  <w:style w:type="character" w:customStyle="1" w:styleId="ParagraphedelisteCar">
    <w:name w:val="Paragraphe de liste Car"/>
    <w:basedOn w:val="Policepardfaut"/>
    <w:link w:val="Paragraphedeliste"/>
    <w:uiPriority w:val="34"/>
    <w:locked/>
    <w:rsid w:val="006F49E2"/>
    <w:rPr>
      <w:rFonts w:ascii="Roboto" w:hAnsi="Roboto"/>
      <w:sz w:val="21"/>
    </w:rPr>
  </w:style>
  <w:style w:type="paragraph" w:customStyle="1" w:styleId="Listeavectirets">
    <w:name w:val="Liste avec tirets"/>
    <w:basedOn w:val="Normal"/>
    <w:uiPriority w:val="7"/>
    <w:qFormat/>
    <w:rsid w:val="006F49E2"/>
    <w:pPr>
      <w:numPr>
        <w:numId w:val="4"/>
      </w:numPr>
    </w:pPr>
    <w:rPr>
      <w:rFonts w:eastAsia="Franklin Gothic Book"/>
      <w:spacing w:val="-4"/>
    </w:rPr>
  </w:style>
  <w:style w:type="paragraph" w:customStyle="1" w:styleId="Titredetableauxgraphiquesimages">
    <w:name w:val="Titre de tableaux / graphiques / images"/>
    <w:uiPriority w:val="4"/>
    <w:qFormat/>
    <w:rsid w:val="006F49E2"/>
    <w:pPr>
      <w:keepNext/>
      <w:keepLines/>
      <w:spacing w:before="360" w:after="120"/>
    </w:pPr>
    <w:rPr>
      <w:rFonts w:ascii="Roboto" w:hAnsi="Roboto"/>
      <w:b/>
      <w:color w:val="878787" w:themeColor="text2"/>
      <w:sz w:val="21"/>
      <w:szCs w:val="21"/>
    </w:rPr>
  </w:style>
  <w:style w:type="table" w:customStyle="1" w:styleId="Grilledutableau1">
    <w:name w:val="Grille du tableau1"/>
    <w:basedOn w:val="TableauNormal"/>
    <w:next w:val="Grilledutableau"/>
    <w:uiPriority w:val="39"/>
    <w:rsid w:val="006F49E2"/>
    <w:pPr>
      <w:spacing w:line="240" w:lineRule="auto"/>
      <w:contextualSpacing/>
      <w:mirrorIndents/>
    </w:pPr>
    <w:rPr>
      <w:rFonts w:asciiTheme="minorHAnsi" w:eastAsiaTheme="minorEastAsia" w:hAnsiTheme="minorHAnsi" w:cstheme="minorBidi"/>
      <w:sz w:val="22"/>
      <w:szCs w:val="22"/>
    </w:rPr>
    <w:tblPr>
      <w:tblStyleRowBandSize w:val="1"/>
      <w:tblStyleColBandSize w:val="1"/>
      <w:tblBorders>
        <w:top w:val="single" w:sz="4" w:space="0" w:color="098AA5" w:themeColor="accent1"/>
        <w:left w:val="single" w:sz="4" w:space="0" w:color="098AA5" w:themeColor="accent1"/>
        <w:bottom w:val="single" w:sz="4" w:space="0" w:color="098AA5" w:themeColor="accent1"/>
        <w:right w:val="single" w:sz="4" w:space="0" w:color="098AA5" w:themeColor="accent1"/>
        <w:insideH w:val="single" w:sz="4" w:space="0" w:color="098AA5" w:themeColor="accent1"/>
        <w:insideV w:val="single" w:sz="4" w:space="0" w:color="098AA5" w:themeColor="accent1"/>
      </w:tblBorders>
      <w:tblCellMar>
        <w:top w:w="85" w:type="dxa"/>
        <w:bottom w:w="85" w:type="dxa"/>
      </w:tblCellMar>
    </w:tblPr>
    <w:tcPr>
      <w:vAlign w:val="center"/>
    </w:tcPr>
    <w:tblStylePr w:type="firstRow">
      <w:pPr>
        <w:wordWrap/>
        <w:spacing w:beforeLines="0" w:before="240" w:beforeAutospacing="0"/>
        <w:jc w:val="left"/>
      </w:pPr>
      <w:rPr>
        <w:b/>
        <w:color w:val="FFFFFF" w:themeColor="background1"/>
      </w:rPr>
      <w:tblPr/>
      <w:tcPr>
        <w:shd w:val="clear" w:color="auto" w:fill="098AA5" w:themeFill="accent1"/>
      </w:tcPr>
    </w:tblStylePr>
    <w:tblStylePr w:type="lastRow">
      <w:rPr>
        <w:color w:val="FFFFFF" w:themeColor="background1"/>
      </w:rPr>
      <w:tblPr/>
      <w:tcPr>
        <w:shd w:val="clear" w:color="auto" w:fill="878787" w:themeFill="text2"/>
      </w:tcPr>
    </w:tblStylePr>
    <w:tblStylePr w:type="firstCol">
      <w:rPr>
        <w:b/>
        <w:color w:val="auto"/>
      </w:rPr>
      <w:tblPr/>
      <w:tcPr>
        <w:tcBorders>
          <w:top w:val="single" w:sz="4" w:space="0" w:color="098AA5" w:themeColor="accent1"/>
          <w:left w:val="single" w:sz="4" w:space="0" w:color="098AA5" w:themeColor="accent1"/>
          <w:bottom w:val="single" w:sz="4" w:space="0" w:color="098AA5" w:themeColor="accent1"/>
          <w:right w:val="single" w:sz="4" w:space="0" w:color="098AA5" w:themeColor="accent1"/>
          <w:insideH w:val="single" w:sz="4" w:space="0" w:color="098AA5" w:themeColor="accent1"/>
          <w:insideV w:val="single" w:sz="4" w:space="0" w:color="098AA5" w:themeColor="accent1"/>
        </w:tcBorders>
        <w:shd w:val="clear" w:color="auto" w:fill="9CC5C4"/>
      </w:tcPr>
    </w:tblStylePr>
    <w:tblStylePr w:type="band1Vert">
      <w:tblPr/>
      <w:tcPr>
        <w:tcBorders>
          <w:top w:val="single" w:sz="4" w:space="0" w:color="098AA5" w:themeColor="accent1"/>
          <w:left w:val="single" w:sz="4" w:space="0" w:color="098AA5" w:themeColor="accent1"/>
          <w:bottom w:val="single" w:sz="4" w:space="0" w:color="098AA5" w:themeColor="accent1"/>
          <w:right w:val="single" w:sz="4" w:space="0" w:color="098AA5" w:themeColor="accent1"/>
          <w:insideH w:val="single" w:sz="4" w:space="0" w:color="098AA5" w:themeColor="accent1"/>
          <w:insideV w:val="single" w:sz="4" w:space="0" w:color="098AA5" w:themeColor="accent1"/>
          <w:tl2br w:val="nil"/>
          <w:tr2bl w:val="nil"/>
        </w:tcBorders>
      </w:tcPr>
    </w:tblStylePr>
    <w:tblStylePr w:type="band2Vert">
      <w:tblPr/>
      <w:tcPr>
        <w:tcBorders>
          <w:top w:val="single" w:sz="4" w:space="0" w:color="098AA5" w:themeColor="accent1"/>
          <w:left w:val="single" w:sz="4" w:space="0" w:color="098AA5" w:themeColor="accent1"/>
          <w:bottom w:val="single" w:sz="4" w:space="0" w:color="098AA5" w:themeColor="accent1"/>
          <w:right w:val="single" w:sz="4" w:space="0" w:color="098AA5" w:themeColor="accent1"/>
          <w:insideH w:val="single" w:sz="4" w:space="0" w:color="098AA5" w:themeColor="accent1"/>
          <w:insideV w:val="single" w:sz="4" w:space="0" w:color="098AA5" w:themeColor="accent1"/>
          <w:tl2br w:val="nil"/>
          <w:tr2bl w:val="nil"/>
        </w:tcBorders>
      </w:tcPr>
    </w:tblStylePr>
    <w:tblStylePr w:type="band1Horz">
      <w:tblPr/>
      <w:tcPr>
        <w:tcBorders>
          <w:top w:val="single" w:sz="4" w:space="0" w:color="098AA5" w:themeColor="accent1"/>
          <w:left w:val="single" w:sz="4" w:space="0" w:color="098AA5" w:themeColor="accent1"/>
          <w:bottom w:val="single" w:sz="4" w:space="0" w:color="098AA5" w:themeColor="accent1"/>
          <w:right w:val="single" w:sz="4" w:space="0" w:color="098AA5" w:themeColor="accent1"/>
          <w:insideH w:val="single" w:sz="4" w:space="0" w:color="098AA5" w:themeColor="accent1"/>
          <w:insideV w:val="single" w:sz="4" w:space="0" w:color="098AA5" w:themeColor="accent1"/>
          <w:tl2br w:val="nil"/>
          <w:tr2bl w:val="nil"/>
        </w:tcBorders>
      </w:tcPr>
    </w:tblStylePr>
    <w:tblStylePr w:type="band2Horz">
      <w:tblPr/>
      <w:tcPr>
        <w:tcBorders>
          <w:top w:val="single" w:sz="4" w:space="0" w:color="098AA5" w:themeColor="accent1"/>
          <w:left w:val="single" w:sz="4" w:space="0" w:color="098AA5" w:themeColor="accent1"/>
          <w:bottom w:val="single" w:sz="4" w:space="0" w:color="098AA5" w:themeColor="accent1"/>
          <w:right w:val="single" w:sz="4" w:space="0" w:color="098AA5" w:themeColor="accent1"/>
          <w:insideH w:val="single" w:sz="4" w:space="0" w:color="098AA5" w:themeColor="accent1"/>
          <w:insideV w:val="single" w:sz="4" w:space="0" w:color="098AA5" w:themeColor="accent1"/>
          <w:tl2br w:val="nil"/>
          <w:tr2bl w:val="nil"/>
        </w:tcBorders>
      </w:tcPr>
    </w:tblStylePr>
  </w:style>
  <w:style w:type="table" w:customStyle="1" w:styleId="Grilledutableau2">
    <w:name w:val="Grille du tableau2"/>
    <w:basedOn w:val="TableauNormal"/>
    <w:next w:val="Grilledutableau"/>
    <w:uiPriority w:val="39"/>
    <w:rsid w:val="005D2AC5"/>
    <w:pPr>
      <w:spacing w:line="240" w:lineRule="auto"/>
      <w:contextualSpacing/>
      <w:mirrorIndents/>
    </w:pPr>
    <w:rPr>
      <w:rFonts w:asciiTheme="minorHAnsi" w:eastAsiaTheme="minorEastAsia" w:hAnsiTheme="minorHAnsi" w:cstheme="minorBidi"/>
      <w:sz w:val="22"/>
      <w:szCs w:val="22"/>
    </w:rPr>
    <w:tblPr>
      <w:tblStyleRowBandSize w:val="1"/>
      <w:tblStyleColBandSize w:val="1"/>
      <w:tblBorders>
        <w:top w:val="single" w:sz="4" w:space="0" w:color="098AA5" w:themeColor="accent1"/>
        <w:left w:val="single" w:sz="4" w:space="0" w:color="098AA5" w:themeColor="accent1"/>
        <w:bottom w:val="single" w:sz="4" w:space="0" w:color="098AA5" w:themeColor="accent1"/>
        <w:right w:val="single" w:sz="4" w:space="0" w:color="098AA5" w:themeColor="accent1"/>
        <w:insideH w:val="single" w:sz="4" w:space="0" w:color="098AA5" w:themeColor="accent1"/>
        <w:insideV w:val="single" w:sz="4" w:space="0" w:color="098AA5" w:themeColor="accent1"/>
      </w:tblBorders>
      <w:tblCellMar>
        <w:top w:w="85" w:type="dxa"/>
        <w:bottom w:w="85" w:type="dxa"/>
      </w:tblCellMar>
    </w:tblPr>
    <w:tcPr>
      <w:vAlign w:val="center"/>
    </w:tcPr>
    <w:tblStylePr w:type="firstRow">
      <w:pPr>
        <w:wordWrap/>
        <w:spacing w:beforeLines="0" w:before="240" w:beforeAutospacing="0"/>
        <w:jc w:val="left"/>
      </w:pPr>
      <w:rPr>
        <w:b/>
        <w:color w:val="FFFFFF" w:themeColor="background1"/>
      </w:rPr>
      <w:tblPr/>
      <w:tcPr>
        <w:shd w:val="clear" w:color="auto" w:fill="098AA5" w:themeFill="accent1"/>
      </w:tcPr>
    </w:tblStylePr>
    <w:tblStylePr w:type="lastRow">
      <w:rPr>
        <w:color w:val="FFFFFF" w:themeColor="background1"/>
      </w:rPr>
      <w:tblPr/>
      <w:tcPr>
        <w:shd w:val="clear" w:color="auto" w:fill="878787" w:themeFill="text2"/>
      </w:tcPr>
    </w:tblStylePr>
    <w:tblStylePr w:type="firstCol">
      <w:rPr>
        <w:b/>
        <w:color w:val="auto"/>
      </w:rPr>
      <w:tblPr/>
      <w:tcPr>
        <w:tcBorders>
          <w:top w:val="single" w:sz="4" w:space="0" w:color="098AA5" w:themeColor="accent1"/>
          <w:left w:val="single" w:sz="4" w:space="0" w:color="098AA5" w:themeColor="accent1"/>
          <w:bottom w:val="single" w:sz="4" w:space="0" w:color="098AA5" w:themeColor="accent1"/>
          <w:right w:val="single" w:sz="4" w:space="0" w:color="098AA5" w:themeColor="accent1"/>
          <w:insideH w:val="single" w:sz="4" w:space="0" w:color="098AA5" w:themeColor="accent1"/>
          <w:insideV w:val="single" w:sz="4" w:space="0" w:color="098AA5" w:themeColor="accent1"/>
        </w:tcBorders>
        <w:shd w:val="clear" w:color="auto" w:fill="9CC5C4"/>
      </w:tcPr>
    </w:tblStylePr>
    <w:tblStylePr w:type="band1Vert">
      <w:tblPr/>
      <w:tcPr>
        <w:tcBorders>
          <w:top w:val="single" w:sz="4" w:space="0" w:color="098AA5" w:themeColor="accent1"/>
          <w:left w:val="single" w:sz="4" w:space="0" w:color="098AA5" w:themeColor="accent1"/>
          <w:bottom w:val="single" w:sz="4" w:space="0" w:color="098AA5" w:themeColor="accent1"/>
          <w:right w:val="single" w:sz="4" w:space="0" w:color="098AA5" w:themeColor="accent1"/>
          <w:insideH w:val="single" w:sz="4" w:space="0" w:color="098AA5" w:themeColor="accent1"/>
          <w:insideV w:val="single" w:sz="4" w:space="0" w:color="098AA5" w:themeColor="accent1"/>
          <w:tl2br w:val="nil"/>
          <w:tr2bl w:val="nil"/>
        </w:tcBorders>
      </w:tcPr>
    </w:tblStylePr>
    <w:tblStylePr w:type="band2Vert">
      <w:tblPr/>
      <w:tcPr>
        <w:tcBorders>
          <w:top w:val="single" w:sz="4" w:space="0" w:color="098AA5" w:themeColor="accent1"/>
          <w:left w:val="single" w:sz="4" w:space="0" w:color="098AA5" w:themeColor="accent1"/>
          <w:bottom w:val="single" w:sz="4" w:space="0" w:color="098AA5" w:themeColor="accent1"/>
          <w:right w:val="single" w:sz="4" w:space="0" w:color="098AA5" w:themeColor="accent1"/>
          <w:insideH w:val="single" w:sz="4" w:space="0" w:color="098AA5" w:themeColor="accent1"/>
          <w:insideV w:val="single" w:sz="4" w:space="0" w:color="098AA5" w:themeColor="accent1"/>
          <w:tl2br w:val="nil"/>
          <w:tr2bl w:val="nil"/>
        </w:tcBorders>
      </w:tcPr>
    </w:tblStylePr>
    <w:tblStylePr w:type="band1Horz">
      <w:tblPr/>
      <w:tcPr>
        <w:tcBorders>
          <w:top w:val="single" w:sz="4" w:space="0" w:color="098AA5" w:themeColor="accent1"/>
          <w:left w:val="single" w:sz="4" w:space="0" w:color="098AA5" w:themeColor="accent1"/>
          <w:bottom w:val="single" w:sz="4" w:space="0" w:color="098AA5" w:themeColor="accent1"/>
          <w:right w:val="single" w:sz="4" w:space="0" w:color="098AA5" w:themeColor="accent1"/>
          <w:insideH w:val="single" w:sz="4" w:space="0" w:color="098AA5" w:themeColor="accent1"/>
          <w:insideV w:val="single" w:sz="4" w:space="0" w:color="098AA5" w:themeColor="accent1"/>
          <w:tl2br w:val="nil"/>
          <w:tr2bl w:val="nil"/>
        </w:tcBorders>
      </w:tcPr>
    </w:tblStylePr>
    <w:tblStylePr w:type="band2Horz">
      <w:tblPr/>
      <w:tcPr>
        <w:tcBorders>
          <w:top w:val="single" w:sz="4" w:space="0" w:color="098AA5" w:themeColor="accent1"/>
          <w:left w:val="single" w:sz="4" w:space="0" w:color="098AA5" w:themeColor="accent1"/>
          <w:bottom w:val="single" w:sz="4" w:space="0" w:color="098AA5" w:themeColor="accent1"/>
          <w:right w:val="single" w:sz="4" w:space="0" w:color="098AA5" w:themeColor="accent1"/>
          <w:insideH w:val="single" w:sz="4" w:space="0" w:color="098AA5" w:themeColor="accent1"/>
          <w:insideV w:val="single" w:sz="4" w:space="0" w:color="098AA5" w:themeColor="accent1"/>
          <w:tl2br w:val="nil"/>
          <w:tr2bl w:val="nil"/>
        </w:tcBorders>
      </w:tcPr>
    </w:tblStylePr>
  </w:style>
  <w:style w:type="table" w:customStyle="1" w:styleId="Grilledutableau3">
    <w:name w:val="Grille du tableau3"/>
    <w:basedOn w:val="TableauNormal"/>
    <w:next w:val="Grilledutableau"/>
    <w:uiPriority w:val="39"/>
    <w:rsid w:val="00DB2215"/>
    <w:pPr>
      <w:spacing w:line="240" w:lineRule="auto"/>
      <w:contextualSpacing/>
      <w:mirrorIndents/>
    </w:pPr>
    <w:rPr>
      <w:rFonts w:asciiTheme="minorHAnsi" w:eastAsiaTheme="minorEastAsia" w:hAnsiTheme="minorHAnsi" w:cstheme="minorBidi"/>
      <w:sz w:val="22"/>
      <w:szCs w:val="22"/>
    </w:rPr>
    <w:tblPr>
      <w:tblStyleRowBandSize w:val="1"/>
      <w:tblStyleColBandSize w:val="1"/>
      <w:tblBorders>
        <w:top w:val="single" w:sz="4" w:space="0" w:color="098AA5" w:themeColor="accent1"/>
        <w:left w:val="single" w:sz="4" w:space="0" w:color="098AA5" w:themeColor="accent1"/>
        <w:bottom w:val="single" w:sz="4" w:space="0" w:color="098AA5" w:themeColor="accent1"/>
        <w:right w:val="single" w:sz="4" w:space="0" w:color="098AA5" w:themeColor="accent1"/>
        <w:insideH w:val="single" w:sz="4" w:space="0" w:color="098AA5" w:themeColor="accent1"/>
        <w:insideV w:val="single" w:sz="4" w:space="0" w:color="098AA5" w:themeColor="accent1"/>
      </w:tblBorders>
      <w:tblCellMar>
        <w:top w:w="85" w:type="dxa"/>
        <w:bottom w:w="85" w:type="dxa"/>
      </w:tblCellMar>
    </w:tblPr>
    <w:tcPr>
      <w:vAlign w:val="center"/>
    </w:tcPr>
    <w:tblStylePr w:type="firstRow">
      <w:pPr>
        <w:wordWrap/>
        <w:spacing w:beforeLines="0" w:before="240" w:beforeAutospacing="0"/>
        <w:jc w:val="left"/>
      </w:pPr>
      <w:rPr>
        <w:b/>
        <w:color w:val="FFFFFF" w:themeColor="background1"/>
      </w:rPr>
      <w:tblPr/>
      <w:tcPr>
        <w:shd w:val="clear" w:color="auto" w:fill="098AA5" w:themeFill="accent1"/>
      </w:tcPr>
    </w:tblStylePr>
    <w:tblStylePr w:type="lastRow">
      <w:rPr>
        <w:color w:val="FFFFFF" w:themeColor="background1"/>
      </w:rPr>
      <w:tblPr/>
      <w:tcPr>
        <w:shd w:val="clear" w:color="auto" w:fill="878787" w:themeFill="text2"/>
      </w:tcPr>
    </w:tblStylePr>
    <w:tblStylePr w:type="firstCol">
      <w:rPr>
        <w:b/>
        <w:color w:val="auto"/>
      </w:rPr>
      <w:tblPr/>
      <w:tcPr>
        <w:tcBorders>
          <w:top w:val="single" w:sz="4" w:space="0" w:color="098AA5" w:themeColor="accent1"/>
          <w:left w:val="single" w:sz="4" w:space="0" w:color="098AA5" w:themeColor="accent1"/>
          <w:bottom w:val="single" w:sz="4" w:space="0" w:color="098AA5" w:themeColor="accent1"/>
          <w:right w:val="single" w:sz="4" w:space="0" w:color="098AA5" w:themeColor="accent1"/>
          <w:insideH w:val="single" w:sz="4" w:space="0" w:color="098AA5" w:themeColor="accent1"/>
          <w:insideV w:val="single" w:sz="4" w:space="0" w:color="098AA5" w:themeColor="accent1"/>
        </w:tcBorders>
        <w:shd w:val="clear" w:color="auto" w:fill="9CC5C4"/>
      </w:tcPr>
    </w:tblStylePr>
    <w:tblStylePr w:type="band1Vert">
      <w:tblPr/>
      <w:tcPr>
        <w:tcBorders>
          <w:top w:val="single" w:sz="4" w:space="0" w:color="098AA5" w:themeColor="accent1"/>
          <w:left w:val="single" w:sz="4" w:space="0" w:color="098AA5" w:themeColor="accent1"/>
          <w:bottom w:val="single" w:sz="4" w:space="0" w:color="098AA5" w:themeColor="accent1"/>
          <w:right w:val="single" w:sz="4" w:space="0" w:color="098AA5" w:themeColor="accent1"/>
          <w:insideH w:val="single" w:sz="4" w:space="0" w:color="098AA5" w:themeColor="accent1"/>
          <w:insideV w:val="single" w:sz="4" w:space="0" w:color="098AA5" w:themeColor="accent1"/>
          <w:tl2br w:val="nil"/>
          <w:tr2bl w:val="nil"/>
        </w:tcBorders>
      </w:tcPr>
    </w:tblStylePr>
    <w:tblStylePr w:type="band2Vert">
      <w:tblPr/>
      <w:tcPr>
        <w:tcBorders>
          <w:top w:val="single" w:sz="4" w:space="0" w:color="098AA5" w:themeColor="accent1"/>
          <w:left w:val="single" w:sz="4" w:space="0" w:color="098AA5" w:themeColor="accent1"/>
          <w:bottom w:val="single" w:sz="4" w:space="0" w:color="098AA5" w:themeColor="accent1"/>
          <w:right w:val="single" w:sz="4" w:space="0" w:color="098AA5" w:themeColor="accent1"/>
          <w:insideH w:val="single" w:sz="4" w:space="0" w:color="098AA5" w:themeColor="accent1"/>
          <w:insideV w:val="single" w:sz="4" w:space="0" w:color="098AA5" w:themeColor="accent1"/>
          <w:tl2br w:val="nil"/>
          <w:tr2bl w:val="nil"/>
        </w:tcBorders>
      </w:tcPr>
    </w:tblStylePr>
    <w:tblStylePr w:type="band1Horz">
      <w:tblPr/>
      <w:tcPr>
        <w:tcBorders>
          <w:top w:val="single" w:sz="4" w:space="0" w:color="098AA5" w:themeColor="accent1"/>
          <w:left w:val="single" w:sz="4" w:space="0" w:color="098AA5" w:themeColor="accent1"/>
          <w:bottom w:val="single" w:sz="4" w:space="0" w:color="098AA5" w:themeColor="accent1"/>
          <w:right w:val="single" w:sz="4" w:space="0" w:color="098AA5" w:themeColor="accent1"/>
          <w:insideH w:val="single" w:sz="4" w:space="0" w:color="098AA5" w:themeColor="accent1"/>
          <w:insideV w:val="single" w:sz="4" w:space="0" w:color="098AA5" w:themeColor="accent1"/>
          <w:tl2br w:val="nil"/>
          <w:tr2bl w:val="nil"/>
        </w:tcBorders>
      </w:tcPr>
    </w:tblStylePr>
    <w:tblStylePr w:type="band2Horz">
      <w:tblPr/>
      <w:tcPr>
        <w:tcBorders>
          <w:top w:val="single" w:sz="4" w:space="0" w:color="098AA5" w:themeColor="accent1"/>
          <w:left w:val="single" w:sz="4" w:space="0" w:color="098AA5" w:themeColor="accent1"/>
          <w:bottom w:val="single" w:sz="4" w:space="0" w:color="098AA5" w:themeColor="accent1"/>
          <w:right w:val="single" w:sz="4" w:space="0" w:color="098AA5" w:themeColor="accent1"/>
          <w:insideH w:val="single" w:sz="4" w:space="0" w:color="098AA5" w:themeColor="accent1"/>
          <w:insideV w:val="single" w:sz="4" w:space="0" w:color="098AA5" w:themeColor="accent1"/>
          <w:tl2br w:val="nil"/>
          <w:tr2bl w:val="nil"/>
        </w:tcBorders>
      </w:tcPr>
    </w:tblStylePr>
  </w:style>
  <w:style w:type="paragraph" w:styleId="Rvision">
    <w:name w:val="Revision"/>
    <w:hidden/>
    <w:uiPriority w:val="99"/>
    <w:semiHidden/>
    <w:rsid w:val="00BA1A64"/>
    <w:pPr>
      <w:spacing w:line="240" w:lineRule="auto"/>
    </w:pPr>
    <w:rPr>
      <w:rFonts w:ascii="Roboto" w:hAnsi="Roboto"/>
      <w:sz w:val="21"/>
    </w:rPr>
  </w:style>
  <w:style w:type="paragraph" w:styleId="Objetducommentaire">
    <w:name w:val="annotation subject"/>
    <w:basedOn w:val="Commentaire"/>
    <w:next w:val="Commentaire"/>
    <w:link w:val="ObjetducommentaireCar"/>
    <w:uiPriority w:val="99"/>
    <w:semiHidden/>
    <w:unhideWhenUsed/>
    <w:rsid w:val="00E4075A"/>
    <w:rPr>
      <w:b/>
      <w:bCs/>
    </w:rPr>
  </w:style>
  <w:style w:type="character" w:customStyle="1" w:styleId="ObjetducommentaireCar">
    <w:name w:val="Objet du commentaire Car"/>
    <w:basedOn w:val="CommentaireCar"/>
    <w:link w:val="Objetducommentaire"/>
    <w:uiPriority w:val="99"/>
    <w:semiHidden/>
    <w:rsid w:val="00E4075A"/>
    <w:rPr>
      <w:rFonts w:ascii="Roboto" w:hAnsi="Roboto"/>
      <w:b/>
      <w:bCs/>
    </w:rPr>
  </w:style>
  <w:style w:type="paragraph" w:customStyle="1" w:styleId="Paragraphenumrot">
    <w:name w:val="Paragraphe numéroté"/>
    <w:basedOn w:val="Normal"/>
    <w:link w:val="ParagraphenumrotCar"/>
    <w:autoRedefine/>
    <w:uiPriority w:val="1"/>
    <w:qFormat/>
    <w:rsid w:val="00EA590B"/>
    <w:pPr>
      <w:keepLines/>
      <w:numPr>
        <w:numId w:val="6"/>
      </w:numPr>
      <w:spacing w:before="120" w:after="120"/>
    </w:pPr>
    <w:rPr>
      <w:rFonts w:cstheme="minorBidi"/>
      <w:szCs w:val="21"/>
      <w:lang w:eastAsia="en-US"/>
      <w14:ligatures w14:val="standardContextual"/>
    </w:rPr>
  </w:style>
  <w:style w:type="character" w:customStyle="1" w:styleId="ParagraphenumrotCar">
    <w:name w:val="Paragraphe numéroté Car"/>
    <w:basedOn w:val="Policepardfaut"/>
    <w:link w:val="Paragraphenumrot"/>
    <w:uiPriority w:val="1"/>
    <w:rsid w:val="00EA590B"/>
    <w:rPr>
      <w:rFonts w:ascii="Roboto" w:hAnsi="Roboto" w:cstheme="minorBidi"/>
      <w:sz w:val="21"/>
      <w:szCs w:val="21"/>
      <w:lang w:eastAsia="en-US"/>
      <w14:ligatures w14:val="standardContextual"/>
    </w:rPr>
  </w:style>
  <w:style w:type="paragraph" w:styleId="Listepuces">
    <w:name w:val="List Bullet"/>
    <w:basedOn w:val="Normal"/>
    <w:uiPriority w:val="1"/>
    <w:qFormat/>
    <w:rsid w:val="00C20600"/>
    <w:pPr>
      <w:keepLines/>
      <w:spacing w:before="120" w:after="120"/>
      <w:ind w:left="567" w:hanging="283"/>
    </w:pPr>
    <w:rPr>
      <w:rFonts w:cstheme="minorBidi"/>
      <w:szCs w:val="21"/>
      <w:lang w:eastAsia="en-US"/>
      <w14:ligatures w14:val="standardContextual"/>
    </w:rPr>
  </w:style>
  <w:style w:type="paragraph" w:customStyle="1" w:styleId="pf0">
    <w:name w:val="pf0"/>
    <w:basedOn w:val="Normal"/>
    <w:rsid w:val="00D27CF3"/>
    <w:pPr>
      <w:spacing w:before="100" w:beforeAutospacing="1" w:after="100" w:afterAutospacing="1"/>
      <w:jc w:val="left"/>
    </w:pPr>
    <w:rPr>
      <w:rFonts w:ascii="Times New Roman" w:eastAsia="Times New Roman" w:hAnsi="Times New Roman"/>
      <w:sz w:val="24"/>
      <w:szCs w:val="24"/>
    </w:rPr>
  </w:style>
  <w:style w:type="character" w:customStyle="1" w:styleId="cf01">
    <w:name w:val="cf01"/>
    <w:basedOn w:val="Policepardfaut"/>
    <w:rsid w:val="00D27CF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325736">
      <w:bodyDiv w:val="1"/>
      <w:marLeft w:val="0"/>
      <w:marRight w:val="0"/>
      <w:marTop w:val="0"/>
      <w:marBottom w:val="0"/>
      <w:divBdr>
        <w:top w:val="none" w:sz="0" w:space="0" w:color="auto"/>
        <w:left w:val="none" w:sz="0" w:space="0" w:color="auto"/>
        <w:bottom w:val="none" w:sz="0" w:space="0" w:color="auto"/>
        <w:right w:val="none" w:sz="0" w:space="0" w:color="auto"/>
      </w:divBdr>
    </w:div>
    <w:div w:id="800654529">
      <w:bodyDiv w:val="1"/>
      <w:marLeft w:val="0"/>
      <w:marRight w:val="0"/>
      <w:marTop w:val="0"/>
      <w:marBottom w:val="0"/>
      <w:divBdr>
        <w:top w:val="none" w:sz="0" w:space="0" w:color="auto"/>
        <w:left w:val="none" w:sz="0" w:space="0" w:color="auto"/>
        <w:bottom w:val="none" w:sz="0" w:space="0" w:color="auto"/>
        <w:right w:val="none" w:sz="0" w:space="0" w:color="auto"/>
      </w:divBdr>
    </w:div>
    <w:div w:id="917709288">
      <w:bodyDiv w:val="1"/>
      <w:marLeft w:val="0"/>
      <w:marRight w:val="0"/>
      <w:marTop w:val="0"/>
      <w:marBottom w:val="0"/>
      <w:divBdr>
        <w:top w:val="none" w:sz="0" w:space="0" w:color="auto"/>
        <w:left w:val="none" w:sz="0" w:space="0" w:color="auto"/>
        <w:bottom w:val="none" w:sz="0" w:space="0" w:color="auto"/>
        <w:right w:val="none" w:sz="0" w:space="0" w:color="auto"/>
      </w:divBdr>
      <w:divsChild>
        <w:div w:id="1486891009">
          <w:marLeft w:val="0"/>
          <w:marRight w:val="0"/>
          <w:marTop w:val="0"/>
          <w:marBottom w:val="0"/>
          <w:divBdr>
            <w:top w:val="none" w:sz="0" w:space="0" w:color="auto"/>
            <w:left w:val="none" w:sz="0" w:space="0" w:color="auto"/>
            <w:bottom w:val="none" w:sz="0" w:space="0" w:color="auto"/>
            <w:right w:val="none" w:sz="0" w:space="0" w:color="auto"/>
          </w:divBdr>
          <w:divsChild>
            <w:div w:id="1470787667">
              <w:marLeft w:val="0"/>
              <w:marRight w:val="0"/>
              <w:marTop w:val="0"/>
              <w:marBottom w:val="0"/>
              <w:divBdr>
                <w:top w:val="none" w:sz="0" w:space="0" w:color="auto"/>
                <w:left w:val="none" w:sz="0" w:space="0" w:color="auto"/>
                <w:bottom w:val="none" w:sz="0" w:space="0" w:color="auto"/>
                <w:right w:val="none" w:sz="0" w:space="0" w:color="auto"/>
              </w:divBdr>
            </w:div>
            <w:div w:id="1401707947">
              <w:marLeft w:val="0"/>
              <w:marRight w:val="0"/>
              <w:marTop w:val="0"/>
              <w:marBottom w:val="0"/>
              <w:divBdr>
                <w:top w:val="none" w:sz="0" w:space="0" w:color="auto"/>
                <w:left w:val="none" w:sz="0" w:space="0" w:color="auto"/>
                <w:bottom w:val="none" w:sz="0" w:space="0" w:color="auto"/>
                <w:right w:val="none" w:sz="0" w:space="0" w:color="auto"/>
              </w:divBdr>
            </w:div>
            <w:div w:id="2047870836">
              <w:marLeft w:val="0"/>
              <w:marRight w:val="0"/>
              <w:marTop w:val="0"/>
              <w:marBottom w:val="0"/>
              <w:divBdr>
                <w:top w:val="none" w:sz="0" w:space="0" w:color="auto"/>
                <w:left w:val="none" w:sz="0" w:space="0" w:color="auto"/>
                <w:bottom w:val="none" w:sz="0" w:space="0" w:color="auto"/>
                <w:right w:val="none" w:sz="0" w:space="0" w:color="auto"/>
              </w:divBdr>
            </w:div>
            <w:div w:id="1800757404">
              <w:marLeft w:val="0"/>
              <w:marRight w:val="0"/>
              <w:marTop w:val="0"/>
              <w:marBottom w:val="0"/>
              <w:divBdr>
                <w:top w:val="none" w:sz="0" w:space="0" w:color="auto"/>
                <w:left w:val="none" w:sz="0" w:space="0" w:color="auto"/>
                <w:bottom w:val="none" w:sz="0" w:space="0" w:color="auto"/>
                <w:right w:val="none" w:sz="0" w:space="0" w:color="auto"/>
              </w:divBdr>
            </w:div>
            <w:div w:id="1629585091">
              <w:marLeft w:val="0"/>
              <w:marRight w:val="0"/>
              <w:marTop w:val="0"/>
              <w:marBottom w:val="0"/>
              <w:divBdr>
                <w:top w:val="none" w:sz="0" w:space="0" w:color="auto"/>
                <w:left w:val="none" w:sz="0" w:space="0" w:color="auto"/>
                <w:bottom w:val="none" w:sz="0" w:space="0" w:color="auto"/>
                <w:right w:val="none" w:sz="0" w:space="0" w:color="auto"/>
              </w:divBdr>
            </w:div>
            <w:div w:id="1054238030">
              <w:marLeft w:val="0"/>
              <w:marRight w:val="0"/>
              <w:marTop w:val="0"/>
              <w:marBottom w:val="0"/>
              <w:divBdr>
                <w:top w:val="none" w:sz="0" w:space="0" w:color="auto"/>
                <w:left w:val="none" w:sz="0" w:space="0" w:color="auto"/>
                <w:bottom w:val="none" w:sz="0" w:space="0" w:color="auto"/>
                <w:right w:val="none" w:sz="0" w:space="0" w:color="auto"/>
              </w:divBdr>
            </w:div>
            <w:div w:id="21053725">
              <w:marLeft w:val="0"/>
              <w:marRight w:val="0"/>
              <w:marTop w:val="0"/>
              <w:marBottom w:val="0"/>
              <w:divBdr>
                <w:top w:val="none" w:sz="0" w:space="0" w:color="auto"/>
                <w:left w:val="none" w:sz="0" w:space="0" w:color="auto"/>
                <w:bottom w:val="none" w:sz="0" w:space="0" w:color="auto"/>
                <w:right w:val="none" w:sz="0" w:space="0" w:color="auto"/>
              </w:divBdr>
            </w:div>
            <w:div w:id="202714346">
              <w:marLeft w:val="0"/>
              <w:marRight w:val="0"/>
              <w:marTop w:val="0"/>
              <w:marBottom w:val="0"/>
              <w:divBdr>
                <w:top w:val="none" w:sz="0" w:space="0" w:color="auto"/>
                <w:left w:val="none" w:sz="0" w:space="0" w:color="auto"/>
                <w:bottom w:val="none" w:sz="0" w:space="0" w:color="auto"/>
                <w:right w:val="none" w:sz="0" w:space="0" w:color="auto"/>
              </w:divBdr>
            </w:div>
            <w:div w:id="752363225">
              <w:marLeft w:val="0"/>
              <w:marRight w:val="0"/>
              <w:marTop w:val="0"/>
              <w:marBottom w:val="0"/>
              <w:divBdr>
                <w:top w:val="none" w:sz="0" w:space="0" w:color="auto"/>
                <w:left w:val="none" w:sz="0" w:space="0" w:color="auto"/>
                <w:bottom w:val="none" w:sz="0" w:space="0" w:color="auto"/>
                <w:right w:val="none" w:sz="0" w:space="0" w:color="auto"/>
              </w:divBdr>
            </w:div>
            <w:div w:id="2036073413">
              <w:marLeft w:val="0"/>
              <w:marRight w:val="0"/>
              <w:marTop w:val="0"/>
              <w:marBottom w:val="0"/>
              <w:divBdr>
                <w:top w:val="none" w:sz="0" w:space="0" w:color="auto"/>
                <w:left w:val="none" w:sz="0" w:space="0" w:color="auto"/>
                <w:bottom w:val="none" w:sz="0" w:space="0" w:color="auto"/>
                <w:right w:val="none" w:sz="0" w:space="0" w:color="auto"/>
              </w:divBdr>
            </w:div>
            <w:div w:id="762991630">
              <w:marLeft w:val="0"/>
              <w:marRight w:val="0"/>
              <w:marTop w:val="0"/>
              <w:marBottom w:val="0"/>
              <w:divBdr>
                <w:top w:val="none" w:sz="0" w:space="0" w:color="auto"/>
                <w:left w:val="none" w:sz="0" w:space="0" w:color="auto"/>
                <w:bottom w:val="none" w:sz="0" w:space="0" w:color="auto"/>
                <w:right w:val="none" w:sz="0" w:space="0" w:color="auto"/>
              </w:divBdr>
            </w:div>
            <w:div w:id="768812438">
              <w:marLeft w:val="0"/>
              <w:marRight w:val="0"/>
              <w:marTop w:val="0"/>
              <w:marBottom w:val="0"/>
              <w:divBdr>
                <w:top w:val="none" w:sz="0" w:space="0" w:color="auto"/>
                <w:left w:val="none" w:sz="0" w:space="0" w:color="auto"/>
                <w:bottom w:val="none" w:sz="0" w:space="0" w:color="auto"/>
                <w:right w:val="none" w:sz="0" w:space="0" w:color="auto"/>
              </w:divBdr>
            </w:div>
            <w:div w:id="2026131815">
              <w:marLeft w:val="0"/>
              <w:marRight w:val="0"/>
              <w:marTop w:val="0"/>
              <w:marBottom w:val="0"/>
              <w:divBdr>
                <w:top w:val="none" w:sz="0" w:space="0" w:color="auto"/>
                <w:left w:val="none" w:sz="0" w:space="0" w:color="auto"/>
                <w:bottom w:val="none" w:sz="0" w:space="0" w:color="auto"/>
                <w:right w:val="none" w:sz="0" w:space="0" w:color="auto"/>
              </w:divBdr>
            </w:div>
            <w:div w:id="86772481">
              <w:marLeft w:val="0"/>
              <w:marRight w:val="0"/>
              <w:marTop w:val="0"/>
              <w:marBottom w:val="0"/>
              <w:divBdr>
                <w:top w:val="none" w:sz="0" w:space="0" w:color="auto"/>
                <w:left w:val="none" w:sz="0" w:space="0" w:color="auto"/>
                <w:bottom w:val="none" w:sz="0" w:space="0" w:color="auto"/>
                <w:right w:val="none" w:sz="0" w:space="0" w:color="auto"/>
              </w:divBdr>
            </w:div>
            <w:div w:id="1085683257">
              <w:marLeft w:val="0"/>
              <w:marRight w:val="0"/>
              <w:marTop w:val="0"/>
              <w:marBottom w:val="0"/>
              <w:divBdr>
                <w:top w:val="none" w:sz="0" w:space="0" w:color="auto"/>
                <w:left w:val="none" w:sz="0" w:space="0" w:color="auto"/>
                <w:bottom w:val="none" w:sz="0" w:space="0" w:color="auto"/>
                <w:right w:val="none" w:sz="0" w:space="0" w:color="auto"/>
              </w:divBdr>
            </w:div>
            <w:div w:id="969435196">
              <w:marLeft w:val="0"/>
              <w:marRight w:val="0"/>
              <w:marTop w:val="0"/>
              <w:marBottom w:val="0"/>
              <w:divBdr>
                <w:top w:val="none" w:sz="0" w:space="0" w:color="auto"/>
                <w:left w:val="none" w:sz="0" w:space="0" w:color="auto"/>
                <w:bottom w:val="none" w:sz="0" w:space="0" w:color="auto"/>
                <w:right w:val="none" w:sz="0" w:space="0" w:color="auto"/>
              </w:divBdr>
            </w:div>
            <w:div w:id="1873491697">
              <w:marLeft w:val="0"/>
              <w:marRight w:val="0"/>
              <w:marTop w:val="0"/>
              <w:marBottom w:val="0"/>
              <w:divBdr>
                <w:top w:val="none" w:sz="0" w:space="0" w:color="auto"/>
                <w:left w:val="none" w:sz="0" w:space="0" w:color="auto"/>
                <w:bottom w:val="none" w:sz="0" w:space="0" w:color="auto"/>
                <w:right w:val="none" w:sz="0" w:space="0" w:color="auto"/>
              </w:divBdr>
            </w:div>
            <w:div w:id="1518739210">
              <w:marLeft w:val="0"/>
              <w:marRight w:val="0"/>
              <w:marTop w:val="0"/>
              <w:marBottom w:val="0"/>
              <w:divBdr>
                <w:top w:val="none" w:sz="0" w:space="0" w:color="auto"/>
                <w:left w:val="none" w:sz="0" w:space="0" w:color="auto"/>
                <w:bottom w:val="none" w:sz="0" w:space="0" w:color="auto"/>
                <w:right w:val="none" w:sz="0" w:space="0" w:color="auto"/>
              </w:divBdr>
            </w:div>
            <w:div w:id="1221136229">
              <w:marLeft w:val="0"/>
              <w:marRight w:val="0"/>
              <w:marTop w:val="0"/>
              <w:marBottom w:val="0"/>
              <w:divBdr>
                <w:top w:val="none" w:sz="0" w:space="0" w:color="auto"/>
                <w:left w:val="none" w:sz="0" w:space="0" w:color="auto"/>
                <w:bottom w:val="none" w:sz="0" w:space="0" w:color="auto"/>
                <w:right w:val="none" w:sz="0" w:space="0" w:color="auto"/>
              </w:divBdr>
            </w:div>
            <w:div w:id="752510534">
              <w:marLeft w:val="0"/>
              <w:marRight w:val="0"/>
              <w:marTop w:val="0"/>
              <w:marBottom w:val="0"/>
              <w:divBdr>
                <w:top w:val="none" w:sz="0" w:space="0" w:color="auto"/>
                <w:left w:val="none" w:sz="0" w:space="0" w:color="auto"/>
                <w:bottom w:val="none" w:sz="0" w:space="0" w:color="auto"/>
                <w:right w:val="none" w:sz="0" w:space="0" w:color="auto"/>
              </w:divBdr>
            </w:div>
            <w:div w:id="699168276">
              <w:marLeft w:val="0"/>
              <w:marRight w:val="0"/>
              <w:marTop w:val="0"/>
              <w:marBottom w:val="0"/>
              <w:divBdr>
                <w:top w:val="none" w:sz="0" w:space="0" w:color="auto"/>
                <w:left w:val="none" w:sz="0" w:space="0" w:color="auto"/>
                <w:bottom w:val="none" w:sz="0" w:space="0" w:color="auto"/>
                <w:right w:val="none" w:sz="0" w:space="0" w:color="auto"/>
              </w:divBdr>
            </w:div>
            <w:div w:id="2073656014">
              <w:marLeft w:val="0"/>
              <w:marRight w:val="0"/>
              <w:marTop w:val="0"/>
              <w:marBottom w:val="0"/>
              <w:divBdr>
                <w:top w:val="none" w:sz="0" w:space="0" w:color="auto"/>
                <w:left w:val="none" w:sz="0" w:space="0" w:color="auto"/>
                <w:bottom w:val="none" w:sz="0" w:space="0" w:color="auto"/>
                <w:right w:val="none" w:sz="0" w:space="0" w:color="auto"/>
              </w:divBdr>
            </w:div>
            <w:div w:id="1437211277">
              <w:marLeft w:val="0"/>
              <w:marRight w:val="0"/>
              <w:marTop w:val="0"/>
              <w:marBottom w:val="0"/>
              <w:divBdr>
                <w:top w:val="none" w:sz="0" w:space="0" w:color="auto"/>
                <w:left w:val="none" w:sz="0" w:space="0" w:color="auto"/>
                <w:bottom w:val="none" w:sz="0" w:space="0" w:color="auto"/>
                <w:right w:val="none" w:sz="0" w:space="0" w:color="auto"/>
              </w:divBdr>
            </w:div>
            <w:div w:id="321861651">
              <w:marLeft w:val="0"/>
              <w:marRight w:val="0"/>
              <w:marTop w:val="0"/>
              <w:marBottom w:val="0"/>
              <w:divBdr>
                <w:top w:val="none" w:sz="0" w:space="0" w:color="auto"/>
                <w:left w:val="none" w:sz="0" w:space="0" w:color="auto"/>
                <w:bottom w:val="none" w:sz="0" w:space="0" w:color="auto"/>
                <w:right w:val="none" w:sz="0" w:space="0" w:color="auto"/>
              </w:divBdr>
            </w:div>
            <w:div w:id="1327705941">
              <w:marLeft w:val="0"/>
              <w:marRight w:val="0"/>
              <w:marTop w:val="0"/>
              <w:marBottom w:val="0"/>
              <w:divBdr>
                <w:top w:val="none" w:sz="0" w:space="0" w:color="auto"/>
                <w:left w:val="none" w:sz="0" w:space="0" w:color="auto"/>
                <w:bottom w:val="none" w:sz="0" w:space="0" w:color="auto"/>
                <w:right w:val="none" w:sz="0" w:space="0" w:color="auto"/>
              </w:divBdr>
            </w:div>
            <w:div w:id="1630818728">
              <w:marLeft w:val="0"/>
              <w:marRight w:val="0"/>
              <w:marTop w:val="0"/>
              <w:marBottom w:val="0"/>
              <w:divBdr>
                <w:top w:val="none" w:sz="0" w:space="0" w:color="auto"/>
                <w:left w:val="none" w:sz="0" w:space="0" w:color="auto"/>
                <w:bottom w:val="none" w:sz="0" w:space="0" w:color="auto"/>
                <w:right w:val="none" w:sz="0" w:space="0" w:color="auto"/>
              </w:divBdr>
            </w:div>
            <w:div w:id="1125079554">
              <w:marLeft w:val="0"/>
              <w:marRight w:val="0"/>
              <w:marTop w:val="0"/>
              <w:marBottom w:val="0"/>
              <w:divBdr>
                <w:top w:val="none" w:sz="0" w:space="0" w:color="auto"/>
                <w:left w:val="none" w:sz="0" w:space="0" w:color="auto"/>
                <w:bottom w:val="none" w:sz="0" w:space="0" w:color="auto"/>
                <w:right w:val="none" w:sz="0" w:space="0" w:color="auto"/>
              </w:divBdr>
            </w:div>
            <w:div w:id="467286429">
              <w:marLeft w:val="0"/>
              <w:marRight w:val="0"/>
              <w:marTop w:val="0"/>
              <w:marBottom w:val="0"/>
              <w:divBdr>
                <w:top w:val="none" w:sz="0" w:space="0" w:color="auto"/>
                <w:left w:val="none" w:sz="0" w:space="0" w:color="auto"/>
                <w:bottom w:val="none" w:sz="0" w:space="0" w:color="auto"/>
                <w:right w:val="none" w:sz="0" w:space="0" w:color="auto"/>
              </w:divBdr>
            </w:div>
            <w:div w:id="1524203273">
              <w:marLeft w:val="0"/>
              <w:marRight w:val="0"/>
              <w:marTop w:val="0"/>
              <w:marBottom w:val="0"/>
              <w:divBdr>
                <w:top w:val="none" w:sz="0" w:space="0" w:color="auto"/>
                <w:left w:val="none" w:sz="0" w:space="0" w:color="auto"/>
                <w:bottom w:val="none" w:sz="0" w:space="0" w:color="auto"/>
                <w:right w:val="none" w:sz="0" w:space="0" w:color="auto"/>
              </w:divBdr>
            </w:div>
            <w:div w:id="920795692">
              <w:marLeft w:val="0"/>
              <w:marRight w:val="0"/>
              <w:marTop w:val="0"/>
              <w:marBottom w:val="0"/>
              <w:divBdr>
                <w:top w:val="none" w:sz="0" w:space="0" w:color="auto"/>
                <w:left w:val="none" w:sz="0" w:space="0" w:color="auto"/>
                <w:bottom w:val="none" w:sz="0" w:space="0" w:color="auto"/>
                <w:right w:val="none" w:sz="0" w:space="0" w:color="auto"/>
              </w:divBdr>
            </w:div>
            <w:div w:id="1235892906">
              <w:marLeft w:val="0"/>
              <w:marRight w:val="0"/>
              <w:marTop w:val="0"/>
              <w:marBottom w:val="0"/>
              <w:divBdr>
                <w:top w:val="none" w:sz="0" w:space="0" w:color="auto"/>
                <w:left w:val="none" w:sz="0" w:space="0" w:color="auto"/>
                <w:bottom w:val="none" w:sz="0" w:space="0" w:color="auto"/>
                <w:right w:val="none" w:sz="0" w:space="0" w:color="auto"/>
              </w:divBdr>
            </w:div>
            <w:div w:id="944001783">
              <w:marLeft w:val="0"/>
              <w:marRight w:val="0"/>
              <w:marTop w:val="0"/>
              <w:marBottom w:val="0"/>
              <w:divBdr>
                <w:top w:val="none" w:sz="0" w:space="0" w:color="auto"/>
                <w:left w:val="none" w:sz="0" w:space="0" w:color="auto"/>
                <w:bottom w:val="none" w:sz="0" w:space="0" w:color="auto"/>
                <w:right w:val="none" w:sz="0" w:space="0" w:color="auto"/>
              </w:divBdr>
            </w:div>
            <w:div w:id="2009357795">
              <w:marLeft w:val="0"/>
              <w:marRight w:val="0"/>
              <w:marTop w:val="0"/>
              <w:marBottom w:val="0"/>
              <w:divBdr>
                <w:top w:val="none" w:sz="0" w:space="0" w:color="auto"/>
                <w:left w:val="none" w:sz="0" w:space="0" w:color="auto"/>
                <w:bottom w:val="none" w:sz="0" w:space="0" w:color="auto"/>
                <w:right w:val="none" w:sz="0" w:space="0" w:color="auto"/>
              </w:divBdr>
            </w:div>
            <w:div w:id="1748109932">
              <w:marLeft w:val="0"/>
              <w:marRight w:val="0"/>
              <w:marTop w:val="0"/>
              <w:marBottom w:val="0"/>
              <w:divBdr>
                <w:top w:val="none" w:sz="0" w:space="0" w:color="auto"/>
                <w:left w:val="none" w:sz="0" w:space="0" w:color="auto"/>
                <w:bottom w:val="none" w:sz="0" w:space="0" w:color="auto"/>
                <w:right w:val="none" w:sz="0" w:space="0" w:color="auto"/>
              </w:divBdr>
            </w:div>
            <w:div w:id="1842772798">
              <w:marLeft w:val="0"/>
              <w:marRight w:val="0"/>
              <w:marTop w:val="0"/>
              <w:marBottom w:val="0"/>
              <w:divBdr>
                <w:top w:val="none" w:sz="0" w:space="0" w:color="auto"/>
                <w:left w:val="none" w:sz="0" w:space="0" w:color="auto"/>
                <w:bottom w:val="none" w:sz="0" w:space="0" w:color="auto"/>
                <w:right w:val="none" w:sz="0" w:space="0" w:color="auto"/>
              </w:divBdr>
            </w:div>
            <w:div w:id="659162938">
              <w:marLeft w:val="0"/>
              <w:marRight w:val="0"/>
              <w:marTop w:val="0"/>
              <w:marBottom w:val="0"/>
              <w:divBdr>
                <w:top w:val="none" w:sz="0" w:space="0" w:color="auto"/>
                <w:left w:val="none" w:sz="0" w:space="0" w:color="auto"/>
                <w:bottom w:val="none" w:sz="0" w:space="0" w:color="auto"/>
                <w:right w:val="none" w:sz="0" w:space="0" w:color="auto"/>
              </w:divBdr>
            </w:div>
            <w:div w:id="1118523219">
              <w:marLeft w:val="0"/>
              <w:marRight w:val="0"/>
              <w:marTop w:val="0"/>
              <w:marBottom w:val="0"/>
              <w:divBdr>
                <w:top w:val="none" w:sz="0" w:space="0" w:color="auto"/>
                <w:left w:val="none" w:sz="0" w:space="0" w:color="auto"/>
                <w:bottom w:val="none" w:sz="0" w:space="0" w:color="auto"/>
                <w:right w:val="none" w:sz="0" w:space="0" w:color="auto"/>
              </w:divBdr>
            </w:div>
            <w:div w:id="961687220">
              <w:marLeft w:val="0"/>
              <w:marRight w:val="0"/>
              <w:marTop w:val="0"/>
              <w:marBottom w:val="0"/>
              <w:divBdr>
                <w:top w:val="none" w:sz="0" w:space="0" w:color="auto"/>
                <w:left w:val="none" w:sz="0" w:space="0" w:color="auto"/>
                <w:bottom w:val="none" w:sz="0" w:space="0" w:color="auto"/>
                <w:right w:val="none" w:sz="0" w:space="0" w:color="auto"/>
              </w:divBdr>
            </w:div>
            <w:div w:id="1276789439">
              <w:marLeft w:val="0"/>
              <w:marRight w:val="0"/>
              <w:marTop w:val="0"/>
              <w:marBottom w:val="0"/>
              <w:divBdr>
                <w:top w:val="none" w:sz="0" w:space="0" w:color="auto"/>
                <w:left w:val="none" w:sz="0" w:space="0" w:color="auto"/>
                <w:bottom w:val="none" w:sz="0" w:space="0" w:color="auto"/>
                <w:right w:val="none" w:sz="0" w:space="0" w:color="auto"/>
              </w:divBdr>
            </w:div>
            <w:div w:id="859776251">
              <w:marLeft w:val="0"/>
              <w:marRight w:val="0"/>
              <w:marTop w:val="0"/>
              <w:marBottom w:val="0"/>
              <w:divBdr>
                <w:top w:val="none" w:sz="0" w:space="0" w:color="auto"/>
                <w:left w:val="none" w:sz="0" w:space="0" w:color="auto"/>
                <w:bottom w:val="none" w:sz="0" w:space="0" w:color="auto"/>
                <w:right w:val="none" w:sz="0" w:space="0" w:color="auto"/>
              </w:divBdr>
            </w:div>
            <w:div w:id="1024526031">
              <w:marLeft w:val="0"/>
              <w:marRight w:val="0"/>
              <w:marTop w:val="0"/>
              <w:marBottom w:val="0"/>
              <w:divBdr>
                <w:top w:val="none" w:sz="0" w:space="0" w:color="auto"/>
                <w:left w:val="none" w:sz="0" w:space="0" w:color="auto"/>
                <w:bottom w:val="none" w:sz="0" w:space="0" w:color="auto"/>
                <w:right w:val="none" w:sz="0" w:space="0" w:color="auto"/>
              </w:divBdr>
            </w:div>
            <w:div w:id="876504177">
              <w:marLeft w:val="0"/>
              <w:marRight w:val="0"/>
              <w:marTop w:val="0"/>
              <w:marBottom w:val="0"/>
              <w:divBdr>
                <w:top w:val="none" w:sz="0" w:space="0" w:color="auto"/>
                <w:left w:val="none" w:sz="0" w:space="0" w:color="auto"/>
                <w:bottom w:val="none" w:sz="0" w:space="0" w:color="auto"/>
                <w:right w:val="none" w:sz="0" w:space="0" w:color="auto"/>
              </w:divBdr>
            </w:div>
            <w:div w:id="1550339697">
              <w:marLeft w:val="0"/>
              <w:marRight w:val="0"/>
              <w:marTop w:val="0"/>
              <w:marBottom w:val="0"/>
              <w:divBdr>
                <w:top w:val="none" w:sz="0" w:space="0" w:color="auto"/>
                <w:left w:val="none" w:sz="0" w:space="0" w:color="auto"/>
                <w:bottom w:val="none" w:sz="0" w:space="0" w:color="auto"/>
                <w:right w:val="none" w:sz="0" w:space="0" w:color="auto"/>
              </w:divBdr>
            </w:div>
            <w:div w:id="166882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847643">
      <w:bodyDiv w:val="1"/>
      <w:marLeft w:val="0"/>
      <w:marRight w:val="0"/>
      <w:marTop w:val="0"/>
      <w:marBottom w:val="0"/>
      <w:divBdr>
        <w:top w:val="none" w:sz="0" w:space="0" w:color="auto"/>
        <w:left w:val="none" w:sz="0" w:space="0" w:color="auto"/>
        <w:bottom w:val="none" w:sz="0" w:space="0" w:color="auto"/>
        <w:right w:val="none" w:sz="0" w:space="0" w:color="auto"/>
      </w:divBdr>
    </w:div>
    <w:div w:id="972055452">
      <w:bodyDiv w:val="1"/>
      <w:marLeft w:val="0"/>
      <w:marRight w:val="0"/>
      <w:marTop w:val="0"/>
      <w:marBottom w:val="0"/>
      <w:divBdr>
        <w:top w:val="none" w:sz="0" w:space="0" w:color="auto"/>
        <w:left w:val="none" w:sz="0" w:space="0" w:color="auto"/>
        <w:bottom w:val="none" w:sz="0" w:space="0" w:color="auto"/>
        <w:right w:val="none" w:sz="0" w:space="0" w:color="auto"/>
      </w:divBdr>
    </w:div>
    <w:div w:id="1245073595">
      <w:bodyDiv w:val="1"/>
      <w:marLeft w:val="0"/>
      <w:marRight w:val="0"/>
      <w:marTop w:val="0"/>
      <w:marBottom w:val="0"/>
      <w:divBdr>
        <w:top w:val="none" w:sz="0" w:space="0" w:color="auto"/>
        <w:left w:val="none" w:sz="0" w:space="0" w:color="auto"/>
        <w:bottom w:val="none" w:sz="0" w:space="0" w:color="auto"/>
        <w:right w:val="none" w:sz="0" w:space="0" w:color="auto"/>
      </w:divBdr>
    </w:div>
    <w:div w:id="1837067838">
      <w:bodyDiv w:val="1"/>
      <w:marLeft w:val="0"/>
      <w:marRight w:val="0"/>
      <w:marTop w:val="0"/>
      <w:marBottom w:val="0"/>
      <w:divBdr>
        <w:top w:val="none" w:sz="0" w:space="0" w:color="auto"/>
        <w:left w:val="none" w:sz="0" w:space="0" w:color="auto"/>
        <w:bottom w:val="none" w:sz="0" w:space="0" w:color="auto"/>
        <w:right w:val="none" w:sz="0" w:space="0" w:color="auto"/>
      </w:divBdr>
    </w:div>
    <w:div w:id="1956250999">
      <w:bodyDiv w:val="1"/>
      <w:marLeft w:val="0"/>
      <w:marRight w:val="0"/>
      <w:marTop w:val="0"/>
      <w:marBottom w:val="0"/>
      <w:divBdr>
        <w:top w:val="none" w:sz="0" w:space="0" w:color="auto"/>
        <w:left w:val="none" w:sz="0" w:space="0" w:color="auto"/>
        <w:bottom w:val="none" w:sz="0" w:space="0" w:color="auto"/>
        <w:right w:val="none" w:sz="0" w:space="0" w:color="auto"/>
      </w:divBdr>
    </w:div>
    <w:div w:id="214322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sultation.publique@autorite-transports.f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Arafer">
      <a:dk1>
        <a:srgbClr val="000000"/>
      </a:dk1>
      <a:lt1>
        <a:srgbClr val="FFFFFF"/>
      </a:lt1>
      <a:dk2>
        <a:srgbClr val="878787"/>
      </a:dk2>
      <a:lt2>
        <a:srgbClr val="CBCAC8"/>
      </a:lt2>
      <a:accent1>
        <a:srgbClr val="098AA5"/>
      </a:accent1>
      <a:accent2>
        <a:srgbClr val="A9CB5E"/>
      </a:accent2>
      <a:accent3>
        <a:srgbClr val="CFA887"/>
      </a:accent3>
      <a:accent4>
        <a:srgbClr val="F2AF00"/>
      </a:accent4>
      <a:accent5>
        <a:srgbClr val="E84427"/>
      </a:accent5>
      <a:accent6>
        <a:srgbClr val="CEC5A7"/>
      </a:accent6>
      <a:hlink>
        <a:srgbClr val="6C8A99"/>
      </a:hlink>
      <a:folHlink>
        <a:srgbClr val="9CC5C4"/>
      </a:folHlink>
    </a:clrScheme>
    <a:fontScheme name="Arafer">
      <a:majorFont>
        <a:latin typeface="Franklin Gothic Demi"/>
        <a:ea typeface=""/>
        <a:cs typeface=""/>
      </a:majorFont>
      <a:minorFont>
        <a:latin typeface="Franklin Gothic Book"/>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F46221-F598-405B-AC08-6620FC4BE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4559</Words>
  <Characters>25076</Characters>
  <Application>Microsoft Office Word</Application>
  <DocSecurity>0</DocSecurity>
  <Lines>208</Lines>
  <Paragraphs>59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FARAUT Vincent</dc:creator>
  <cp:lastModifiedBy>DUBIÉ Adrien</cp:lastModifiedBy>
  <cp:revision>6</cp:revision>
  <cp:lastPrinted>2026-07-03T11:16:00Z</cp:lastPrinted>
  <dcterms:created xsi:type="dcterms:W3CDTF">2026-07-03T11:13:00Z</dcterms:created>
  <dcterms:modified xsi:type="dcterms:W3CDTF">2026-07-03T11:17:00Z</dcterms:modified>
</cp:coreProperties>
</file>