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8038110"/>
    <w:p w14:paraId="4AF97966" w14:textId="4E73B85B" w:rsidR="005D103A" w:rsidRPr="00D979B2" w:rsidRDefault="00467561" w:rsidP="00613A6B">
      <w:pPr>
        <w:pStyle w:val="Titre"/>
        <w:rPr>
          <w:rFonts w:asciiTheme="majorHAnsi" w:hAnsiTheme="majorHAnsi"/>
        </w:rPr>
      </w:pPr>
      <w:sdt>
        <w:sdtPr>
          <w:rPr>
            <w:rFonts w:asciiTheme="majorHAnsi" w:hAnsiTheme="majorHAnsi"/>
          </w:rPr>
          <w:alias w:val="Titre "/>
          <w:tag w:val=""/>
          <w:id w:val="-2113429312"/>
          <w:placeholder>
            <w:docPart w:val="D426C01AA06B4C11BA5E997A3DE637CD"/>
          </w:placeholder>
          <w:dataBinding w:prefixMappings="xmlns:ns0='http://purl.org/dc/elements/1.1/' xmlns:ns1='http://schemas.openxmlformats.org/package/2006/metadata/core-properties' " w:xpath="/ns1:coreProperties[1]/ns0:title[1]" w:storeItemID="{6C3C8BC8-F283-45AE-878A-BAB7291924A1}"/>
          <w:text/>
        </w:sdtPr>
        <w:sdtEndPr/>
        <w:sdtContent>
          <w:r w:rsidR="00E434A8" w:rsidRPr="00320B87">
            <w:rPr>
              <w:rFonts w:asciiTheme="majorHAnsi" w:hAnsiTheme="majorHAnsi"/>
            </w:rPr>
            <w:t>Consultation publique</w:t>
          </w:r>
        </w:sdtContent>
      </w:sdt>
      <w:r w:rsidR="00C360B3" w:rsidRPr="00320B87">
        <w:rPr>
          <w:rFonts w:asciiTheme="majorHAnsi" w:hAnsiTheme="majorHAnsi"/>
        </w:rPr>
        <w:t xml:space="preserve"> du</w:t>
      </w:r>
      <w:r w:rsidR="009B1035" w:rsidRPr="00320B87">
        <w:rPr>
          <w:rFonts w:asciiTheme="majorHAnsi" w:hAnsiTheme="majorHAnsi"/>
        </w:rPr>
        <w:t xml:space="preserve"> </w:t>
      </w:r>
      <w:bookmarkStart w:id="1" w:name="_Hlk95762853"/>
      <w:bookmarkStart w:id="2" w:name="_Toc438038111"/>
      <w:bookmarkEnd w:id="0"/>
      <w:r w:rsidR="00EA6C50" w:rsidRPr="00D979B2">
        <w:rPr>
          <w:rFonts w:asciiTheme="majorHAnsi" w:hAnsiTheme="majorHAnsi"/>
        </w:rPr>
        <w:t>05 mars</w:t>
      </w:r>
      <w:r w:rsidR="00A96935" w:rsidRPr="00D979B2">
        <w:rPr>
          <w:rFonts w:asciiTheme="majorHAnsi" w:hAnsiTheme="majorHAnsi"/>
        </w:rPr>
        <w:t xml:space="preserve"> </w:t>
      </w:r>
      <w:r w:rsidR="00883153" w:rsidRPr="00D979B2">
        <w:rPr>
          <w:rFonts w:asciiTheme="majorHAnsi" w:hAnsiTheme="majorHAnsi"/>
        </w:rPr>
        <w:t>202</w:t>
      </w:r>
      <w:r w:rsidR="00DB74B2" w:rsidRPr="00D979B2">
        <w:rPr>
          <w:rFonts w:asciiTheme="majorHAnsi" w:hAnsiTheme="majorHAnsi"/>
        </w:rPr>
        <w:t>4</w:t>
      </w:r>
    </w:p>
    <w:bookmarkEnd w:id="1"/>
    <w:bookmarkEnd w:id="2"/>
    <w:p w14:paraId="5FB32647" w14:textId="59B4B58F" w:rsidR="009B1035" w:rsidRPr="00D979B2" w:rsidRDefault="00374E85" w:rsidP="006A5124">
      <w:pPr>
        <w:pStyle w:val="Sous-titre"/>
        <w:jc w:val="both"/>
        <w:rPr>
          <w:rFonts w:asciiTheme="majorHAnsi" w:hAnsiTheme="majorHAnsi"/>
        </w:rPr>
      </w:pPr>
      <w:r w:rsidRPr="00D979B2">
        <w:rPr>
          <w:rFonts w:asciiTheme="majorHAnsi" w:hAnsiTheme="majorHAnsi"/>
        </w:rPr>
        <w:t xml:space="preserve">portant sur </w:t>
      </w:r>
      <w:r w:rsidR="00A96935" w:rsidRPr="00D979B2">
        <w:rPr>
          <w:rFonts w:asciiTheme="majorHAnsi" w:hAnsiTheme="majorHAnsi"/>
        </w:rPr>
        <w:t>le projet de lignes directrices relatives aux</w:t>
      </w:r>
      <w:r w:rsidR="0026389C" w:rsidRPr="00D979B2">
        <w:rPr>
          <w:rFonts w:asciiTheme="majorHAnsi" w:hAnsiTheme="majorHAnsi"/>
        </w:rPr>
        <w:t xml:space="preserve"> dérogations à l’attribution concurrentielle de services conventionnés de voyageurs prévues par le règlement n°</w:t>
      </w:r>
      <w:r w:rsidR="00855C88" w:rsidRPr="00D979B2">
        <w:rPr>
          <w:rFonts w:asciiTheme="majorHAnsi" w:hAnsiTheme="majorHAnsi"/>
        </w:rPr>
        <w:t> </w:t>
      </w:r>
      <w:r w:rsidR="0026389C" w:rsidRPr="00D979B2">
        <w:rPr>
          <w:rFonts w:asciiTheme="majorHAnsi" w:hAnsiTheme="majorHAnsi"/>
        </w:rPr>
        <w:t>1370/2007 du 23 octobre 2007 (le « réglement OSP »)</w:t>
      </w:r>
    </w:p>
    <w:p w14:paraId="4AD62C7F" w14:textId="4C7905E6" w:rsidR="00EB73C2" w:rsidRPr="00D979B2" w:rsidRDefault="00EB73C2" w:rsidP="00EB73C2">
      <w:pPr>
        <w:rPr>
          <w:rFonts w:asciiTheme="majorHAnsi" w:hAnsiTheme="majorHAnsi"/>
        </w:rPr>
      </w:pPr>
      <w:r w:rsidRPr="00D979B2">
        <w:rPr>
          <w:rFonts w:asciiTheme="majorHAnsi" w:hAnsiTheme="majorHAnsi"/>
        </w:rPr>
        <w:t>Début :</w:t>
      </w:r>
      <w:r w:rsidRPr="00D979B2">
        <w:rPr>
          <w:rFonts w:asciiTheme="majorHAnsi" w:hAnsiTheme="majorHAnsi"/>
          <w:b/>
        </w:rPr>
        <w:t xml:space="preserve"> </w:t>
      </w:r>
      <w:r w:rsidR="00EA6C50" w:rsidRPr="00D979B2">
        <w:rPr>
          <w:rFonts w:asciiTheme="majorHAnsi" w:hAnsiTheme="majorHAnsi"/>
          <w:b/>
        </w:rPr>
        <w:t>5 mars</w:t>
      </w:r>
      <w:r w:rsidR="00A96935" w:rsidRPr="00D979B2">
        <w:rPr>
          <w:rFonts w:asciiTheme="majorHAnsi" w:hAnsiTheme="majorHAnsi"/>
          <w:b/>
        </w:rPr>
        <w:t> </w:t>
      </w:r>
      <w:r w:rsidRPr="00D979B2">
        <w:rPr>
          <w:rFonts w:asciiTheme="majorHAnsi" w:hAnsiTheme="majorHAnsi"/>
          <w:b/>
        </w:rPr>
        <w:t>202</w:t>
      </w:r>
      <w:r w:rsidR="00DB74B2" w:rsidRPr="00D979B2">
        <w:rPr>
          <w:rFonts w:asciiTheme="majorHAnsi" w:hAnsiTheme="majorHAnsi"/>
          <w:b/>
        </w:rPr>
        <w:t>4</w:t>
      </w:r>
    </w:p>
    <w:p w14:paraId="1575F009" w14:textId="271785E9" w:rsidR="00EB73C2" w:rsidRPr="00320B87" w:rsidRDefault="00EB73C2" w:rsidP="00EB73C2">
      <w:pPr>
        <w:rPr>
          <w:rFonts w:asciiTheme="majorHAnsi" w:hAnsiTheme="majorHAnsi"/>
        </w:rPr>
      </w:pPr>
      <w:r w:rsidRPr="00D979B2">
        <w:rPr>
          <w:rFonts w:asciiTheme="majorHAnsi" w:hAnsiTheme="majorHAnsi"/>
        </w:rPr>
        <w:t xml:space="preserve">Fin : </w:t>
      </w:r>
      <w:r w:rsidR="00D979B2">
        <w:rPr>
          <w:rFonts w:asciiTheme="majorHAnsi" w:hAnsiTheme="majorHAnsi"/>
          <w:b/>
          <w:bCs/>
        </w:rPr>
        <w:t>2</w:t>
      </w:r>
      <w:r w:rsidR="008A7DE8" w:rsidRPr="00D979B2">
        <w:rPr>
          <w:rFonts w:asciiTheme="majorHAnsi" w:hAnsiTheme="majorHAnsi"/>
          <w:b/>
        </w:rPr>
        <w:t> </w:t>
      </w:r>
      <w:r w:rsidR="00D979B2">
        <w:rPr>
          <w:rFonts w:asciiTheme="majorHAnsi" w:hAnsiTheme="majorHAnsi"/>
          <w:b/>
        </w:rPr>
        <w:t>avril</w:t>
      </w:r>
      <w:r w:rsidR="0026389C" w:rsidRPr="00D979B2">
        <w:rPr>
          <w:rFonts w:asciiTheme="majorHAnsi" w:hAnsiTheme="majorHAnsi"/>
          <w:b/>
        </w:rPr>
        <w:t xml:space="preserve"> </w:t>
      </w:r>
      <w:r w:rsidR="00F63876" w:rsidRPr="00D979B2">
        <w:rPr>
          <w:rFonts w:asciiTheme="majorHAnsi" w:hAnsiTheme="majorHAnsi"/>
          <w:b/>
        </w:rPr>
        <w:t>202</w:t>
      </w:r>
      <w:r w:rsidR="00DB74B2" w:rsidRPr="00D979B2">
        <w:rPr>
          <w:rFonts w:asciiTheme="majorHAnsi" w:hAnsiTheme="majorHAnsi"/>
          <w:b/>
        </w:rPr>
        <w:t>4</w:t>
      </w:r>
    </w:p>
    <w:p w14:paraId="7B88DDB9" w14:textId="77777777" w:rsidR="00EB73C2" w:rsidRPr="00320B87" w:rsidRDefault="00EB73C2" w:rsidP="00EB73C2">
      <w:pPr>
        <w:pBdr>
          <w:bottom w:val="single" w:sz="4" w:space="1" w:color="263561"/>
        </w:pBdr>
        <w:tabs>
          <w:tab w:val="left" w:pos="2674"/>
        </w:tabs>
        <w:spacing w:before="0"/>
        <w:rPr>
          <w:rFonts w:asciiTheme="majorHAnsi" w:hAnsiTheme="majorHAnsi"/>
        </w:rPr>
      </w:pPr>
    </w:p>
    <w:p w14:paraId="4CAF09E7" w14:textId="76A1C92A" w:rsidR="00EB73C2" w:rsidRPr="00320B87" w:rsidRDefault="001A534F" w:rsidP="00CB4615">
      <w:pPr>
        <w:pStyle w:val="Sous-titre"/>
        <w:spacing w:after="360"/>
        <w:rPr>
          <w:rFonts w:asciiTheme="majorHAnsi" w:hAnsiTheme="majorHAnsi"/>
          <w:b/>
          <w:bCs w:val="0"/>
          <w:sz w:val="21"/>
          <w:szCs w:val="21"/>
        </w:rPr>
      </w:pPr>
      <w:r>
        <w:rPr>
          <w:rFonts w:asciiTheme="majorHAnsi" w:hAnsiTheme="majorHAnsi"/>
          <w:b/>
          <w:bCs w:val="0"/>
          <w:sz w:val="21"/>
          <w:szCs w:val="21"/>
        </w:rPr>
        <w:t>Objet de la consultation publique</w:t>
      </w:r>
    </w:p>
    <w:p w14:paraId="23EB0DE6" w14:textId="688CBDF6" w:rsidR="00DD4485" w:rsidRPr="00F56993" w:rsidRDefault="00DD4485" w:rsidP="00DD4485">
      <w:pPr>
        <w:rPr>
          <w:rFonts w:asciiTheme="majorHAnsi" w:hAnsiTheme="majorHAnsi"/>
          <w:b/>
          <w:bCs/>
        </w:rPr>
      </w:pPr>
      <w:r w:rsidRPr="00A61414">
        <w:rPr>
          <w:rFonts w:asciiTheme="majorHAnsi" w:hAnsiTheme="majorHAnsi"/>
          <w:b/>
          <w:bCs/>
        </w:rPr>
        <w:t>Le règlement n°</w:t>
      </w:r>
      <w:r w:rsidR="009704AE" w:rsidRPr="00A61414">
        <w:rPr>
          <w:rFonts w:asciiTheme="majorHAnsi" w:hAnsiTheme="majorHAnsi"/>
          <w:b/>
          <w:bCs/>
        </w:rPr>
        <w:t> </w:t>
      </w:r>
      <w:r w:rsidRPr="00A61414">
        <w:rPr>
          <w:rFonts w:asciiTheme="majorHAnsi" w:hAnsiTheme="majorHAnsi"/>
          <w:b/>
          <w:bCs/>
        </w:rPr>
        <w:t>1370/2007 du 23 octobre 2007 relatif aux services publics de transport de voyageurs par chemin de fer et par route (le « règlement OSP ») a posé le principe de l’attribution après mise en concurrence des contrats de service public de transport de voyageurs par chemin de fer à compter du 25 décembre 2023, ainsi que les dérogations à cette obligation.</w:t>
      </w:r>
      <w:r w:rsidRPr="00F56993">
        <w:rPr>
          <w:rFonts w:asciiTheme="majorHAnsi" w:hAnsiTheme="majorHAnsi"/>
          <w:b/>
          <w:bCs/>
        </w:rPr>
        <w:t xml:space="preserve"> </w:t>
      </w:r>
    </w:p>
    <w:p w14:paraId="2BA7692F" w14:textId="37AF55EE" w:rsidR="00DD4485" w:rsidRPr="001A534F" w:rsidRDefault="00DD4485" w:rsidP="00DD4485">
      <w:pPr>
        <w:rPr>
          <w:rFonts w:asciiTheme="majorHAnsi" w:hAnsiTheme="majorHAnsi"/>
        </w:rPr>
      </w:pPr>
      <w:r w:rsidRPr="001A534F">
        <w:rPr>
          <w:rFonts w:asciiTheme="majorHAnsi" w:hAnsiTheme="majorHAnsi"/>
        </w:rPr>
        <w:t xml:space="preserve">Bien qu’étant d’application directe, ses dispositions ont été reprises en droit national par la </w:t>
      </w:r>
      <w:r w:rsidR="00924623" w:rsidRPr="001A534F">
        <w:rPr>
          <w:rFonts w:asciiTheme="majorHAnsi" w:hAnsiTheme="majorHAnsi"/>
        </w:rPr>
        <w:t>loi </w:t>
      </w:r>
      <w:r w:rsidRPr="001A534F">
        <w:rPr>
          <w:rFonts w:asciiTheme="majorHAnsi" w:hAnsiTheme="majorHAnsi"/>
        </w:rPr>
        <w:t>n°</w:t>
      </w:r>
      <w:r w:rsidR="00924623" w:rsidRPr="001A534F">
        <w:rPr>
          <w:rFonts w:asciiTheme="majorHAnsi" w:hAnsiTheme="majorHAnsi"/>
        </w:rPr>
        <w:t> </w:t>
      </w:r>
      <w:r w:rsidRPr="001A534F">
        <w:rPr>
          <w:rFonts w:asciiTheme="majorHAnsi" w:hAnsiTheme="majorHAnsi"/>
        </w:rPr>
        <w:t>2018-515 du 27 juin 2018 pour un nouveau pacte ferroviaire (la « loi NPF ») et codifiées aux articles L. 2121-14 et suivants du code des transports. Conformément à l’article 11 du règlement OSP, l’article 18 de la loi NPF prévo</w:t>
      </w:r>
      <w:r w:rsidR="00830E1A" w:rsidRPr="001A534F">
        <w:rPr>
          <w:rFonts w:asciiTheme="majorHAnsi" w:hAnsiTheme="majorHAnsi"/>
        </w:rPr>
        <w:t>ya</w:t>
      </w:r>
      <w:r w:rsidRPr="001A534F">
        <w:rPr>
          <w:rFonts w:asciiTheme="majorHAnsi" w:hAnsiTheme="majorHAnsi"/>
        </w:rPr>
        <w:t>it une période transitoire du 3</w:t>
      </w:r>
      <w:r w:rsidR="00E114B1" w:rsidRPr="001A534F">
        <w:rPr>
          <w:rFonts w:asciiTheme="majorHAnsi" w:hAnsiTheme="majorHAnsi"/>
        </w:rPr>
        <w:t> </w:t>
      </w:r>
      <w:r w:rsidRPr="001A534F">
        <w:rPr>
          <w:rFonts w:asciiTheme="majorHAnsi" w:hAnsiTheme="majorHAnsi"/>
        </w:rPr>
        <w:t>décembre</w:t>
      </w:r>
      <w:r w:rsidR="00E114B1" w:rsidRPr="001A534F">
        <w:rPr>
          <w:rFonts w:asciiTheme="majorHAnsi" w:hAnsiTheme="majorHAnsi"/>
        </w:rPr>
        <w:t> </w:t>
      </w:r>
      <w:r w:rsidRPr="001A534F">
        <w:rPr>
          <w:rFonts w:asciiTheme="majorHAnsi" w:hAnsiTheme="majorHAnsi"/>
        </w:rPr>
        <w:t>2019 au 24</w:t>
      </w:r>
      <w:r w:rsidR="00E114B1" w:rsidRPr="001A534F">
        <w:rPr>
          <w:rFonts w:asciiTheme="majorHAnsi" w:hAnsiTheme="majorHAnsi"/>
        </w:rPr>
        <w:t> </w:t>
      </w:r>
      <w:r w:rsidRPr="001A534F">
        <w:rPr>
          <w:rFonts w:asciiTheme="majorHAnsi" w:hAnsiTheme="majorHAnsi"/>
        </w:rPr>
        <w:t>décembre</w:t>
      </w:r>
      <w:r w:rsidR="00E114B1" w:rsidRPr="001A534F">
        <w:rPr>
          <w:rFonts w:asciiTheme="majorHAnsi" w:hAnsiTheme="majorHAnsi"/>
        </w:rPr>
        <w:t> </w:t>
      </w:r>
      <w:r w:rsidRPr="001A534F">
        <w:rPr>
          <w:rFonts w:asciiTheme="majorHAnsi" w:hAnsiTheme="majorHAnsi"/>
        </w:rPr>
        <w:t>2023.</w:t>
      </w:r>
      <w:r w:rsidRPr="00F56993">
        <w:rPr>
          <w:rFonts w:asciiTheme="majorHAnsi" w:hAnsiTheme="majorHAnsi"/>
        </w:rPr>
        <w:t xml:space="preserve"> </w:t>
      </w:r>
      <w:r w:rsidRPr="001A534F">
        <w:rPr>
          <w:rFonts w:asciiTheme="majorHAnsi" w:hAnsiTheme="majorHAnsi"/>
        </w:rPr>
        <w:t xml:space="preserve">Au cours de la période transitoire, le principe </w:t>
      </w:r>
      <w:r w:rsidR="00830E1A" w:rsidRPr="001A534F">
        <w:rPr>
          <w:rFonts w:asciiTheme="majorHAnsi" w:hAnsiTheme="majorHAnsi"/>
        </w:rPr>
        <w:t>était</w:t>
      </w:r>
      <w:r w:rsidRPr="001A534F">
        <w:rPr>
          <w:rFonts w:asciiTheme="majorHAnsi" w:hAnsiTheme="majorHAnsi"/>
        </w:rPr>
        <w:t xml:space="preserve"> que les conventions conclues avant le 24 décembre 2023 se poursuivent jusqu’à leur terme, leur durée ne pouvant toutefois excéder dix ans</w:t>
      </w:r>
      <w:r w:rsidRPr="001A534F">
        <w:rPr>
          <w:rFonts w:asciiTheme="majorHAnsi" w:hAnsiTheme="majorHAnsi"/>
          <w:vertAlign w:val="superscript"/>
        </w:rPr>
        <w:footnoteReference w:id="2"/>
      </w:r>
      <w:r w:rsidR="00830E1A" w:rsidRPr="001A534F">
        <w:rPr>
          <w:rFonts w:asciiTheme="majorHAnsi" w:hAnsiTheme="majorHAnsi"/>
        </w:rPr>
        <w:t>,</w:t>
      </w:r>
      <w:r w:rsidRPr="001A534F">
        <w:rPr>
          <w:rFonts w:asciiTheme="majorHAnsi" w:hAnsiTheme="majorHAnsi"/>
        </w:rPr>
        <w:t xml:space="preserve"> la conclusion de nouvelles conventions, attribu</w:t>
      </w:r>
      <w:r w:rsidR="00830E1A" w:rsidRPr="001A534F">
        <w:rPr>
          <w:rFonts w:asciiTheme="majorHAnsi" w:hAnsiTheme="majorHAnsi"/>
        </w:rPr>
        <w:t>ées</w:t>
      </w:r>
      <w:r w:rsidRPr="001A534F">
        <w:rPr>
          <w:rFonts w:asciiTheme="majorHAnsi" w:hAnsiTheme="majorHAnsi"/>
        </w:rPr>
        <w:t xml:space="preserve"> après mise en concurrence n’</w:t>
      </w:r>
      <w:r w:rsidR="00830E1A" w:rsidRPr="001A534F">
        <w:rPr>
          <w:rFonts w:asciiTheme="majorHAnsi" w:hAnsiTheme="majorHAnsi"/>
        </w:rPr>
        <w:t>étant</w:t>
      </w:r>
      <w:r w:rsidRPr="001A534F">
        <w:rPr>
          <w:rFonts w:asciiTheme="majorHAnsi" w:hAnsiTheme="majorHAnsi"/>
        </w:rPr>
        <w:t xml:space="preserve"> qu’une faculté de l’autorité organisatrice de transport (« AOT »). </w:t>
      </w:r>
    </w:p>
    <w:p w14:paraId="63401BF1" w14:textId="1257A54F" w:rsidR="004213A8" w:rsidRPr="00F56993" w:rsidRDefault="00DD4485" w:rsidP="00DD4485">
      <w:pPr>
        <w:rPr>
          <w:rFonts w:asciiTheme="majorHAnsi" w:hAnsiTheme="majorHAnsi"/>
          <w:b/>
          <w:bCs/>
        </w:rPr>
      </w:pPr>
      <w:r w:rsidRPr="00A61414">
        <w:rPr>
          <w:rFonts w:asciiTheme="majorHAnsi" w:hAnsiTheme="majorHAnsi"/>
          <w:b/>
          <w:bCs/>
        </w:rPr>
        <w:t xml:space="preserve">À l’issue de la période transitoire, les conventions </w:t>
      </w:r>
      <w:r w:rsidR="00830E1A" w:rsidRPr="00A61414">
        <w:rPr>
          <w:rFonts w:asciiTheme="majorHAnsi" w:hAnsiTheme="majorHAnsi"/>
          <w:b/>
          <w:bCs/>
        </w:rPr>
        <w:t>doivent</w:t>
      </w:r>
      <w:r w:rsidRPr="00A61414">
        <w:rPr>
          <w:rFonts w:asciiTheme="majorHAnsi" w:hAnsiTheme="majorHAnsi"/>
          <w:b/>
          <w:bCs/>
        </w:rPr>
        <w:t xml:space="preserve"> être attribuées après mise en concurrence. L’article 5 du règlement OSP et l’article L.</w:t>
      </w:r>
      <w:r w:rsidR="006B3FFB" w:rsidRPr="00A61414">
        <w:rPr>
          <w:rFonts w:asciiTheme="majorHAnsi" w:hAnsiTheme="majorHAnsi"/>
          <w:b/>
          <w:bCs/>
        </w:rPr>
        <w:t> </w:t>
      </w:r>
      <w:r w:rsidRPr="00A61414">
        <w:rPr>
          <w:rFonts w:asciiTheme="majorHAnsi" w:hAnsiTheme="majorHAnsi"/>
          <w:b/>
          <w:bCs/>
        </w:rPr>
        <w:t>2121-17 du code des transports prévoient toutefois six dérogations permettant l’attribution directe de conventions</w:t>
      </w:r>
      <w:r w:rsidR="001A534F" w:rsidRPr="00A61414">
        <w:rPr>
          <w:rFonts w:asciiTheme="majorHAnsi" w:hAnsiTheme="majorHAnsi"/>
          <w:b/>
          <w:bCs/>
        </w:rPr>
        <w:t>, dont t</w:t>
      </w:r>
      <w:r w:rsidR="00924623" w:rsidRPr="00A61414">
        <w:rPr>
          <w:rFonts w:asciiTheme="majorHAnsi" w:hAnsiTheme="majorHAnsi"/>
          <w:b/>
          <w:bCs/>
        </w:rPr>
        <w:t>rois</w:t>
      </w:r>
      <w:r w:rsidR="001A534F" w:rsidRPr="00A61414">
        <w:rPr>
          <w:rFonts w:asciiTheme="majorHAnsi" w:hAnsiTheme="majorHAnsi"/>
          <w:b/>
          <w:bCs/>
        </w:rPr>
        <w:t xml:space="preserve"> </w:t>
      </w:r>
      <w:r w:rsidR="00924623" w:rsidRPr="00A61414">
        <w:rPr>
          <w:rFonts w:asciiTheme="majorHAnsi" w:hAnsiTheme="majorHAnsi"/>
          <w:b/>
          <w:bCs/>
        </w:rPr>
        <w:t xml:space="preserve">sont mises en œuvre sous le contrôle de l’Autorité. </w:t>
      </w:r>
    </w:p>
    <w:p w14:paraId="7D96F65E" w14:textId="2877F5A8" w:rsidR="006461E0" w:rsidRPr="00320B87" w:rsidRDefault="006461E0" w:rsidP="00DD4485">
      <w:pPr>
        <w:rPr>
          <w:rFonts w:asciiTheme="majorHAnsi" w:hAnsiTheme="majorHAnsi"/>
        </w:rPr>
      </w:pPr>
      <w:bookmarkStart w:id="3" w:name="_Toc140047346"/>
      <w:r w:rsidRPr="00A61414">
        <w:rPr>
          <w:rFonts w:asciiTheme="majorHAnsi" w:hAnsiTheme="majorHAnsi"/>
          <w:b/>
          <w:bCs/>
        </w:rPr>
        <w:t>Dans cette perspective, conformément à l’article 4 du décret n°</w:t>
      </w:r>
      <w:r w:rsidR="00E114B1" w:rsidRPr="00A61414">
        <w:rPr>
          <w:rFonts w:asciiTheme="majorHAnsi" w:hAnsiTheme="majorHAnsi"/>
          <w:b/>
          <w:bCs/>
        </w:rPr>
        <w:t> </w:t>
      </w:r>
      <w:r w:rsidRPr="00A61414">
        <w:rPr>
          <w:rFonts w:asciiTheme="majorHAnsi" w:hAnsiTheme="majorHAnsi"/>
          <w:b/>
          <w:bCs/>
        </w:rPr>
        <w:t>2020-728 du 15 juin 2020, l’Autorité doit adopter des lignes directrices</w:t>
      </w:r>
      <w:r w:rsidRPr="001A534F">
        <w:rPr>
          <w:rFonts w:asciiTheme="majorHAnsi" w:hAnsiTheme="majorHAnsi"/>
        </w:rPr>
        <w:t>, qui permettront de préciser les conditions de sa</w:t>
      </w:r>
      <w:r w:rsidRPr="00320B87">
        <w:rPr>
          <w:rFonts w:asciiTheme="majorHAnsi" w:hAnsiTheme="majorHAnsi"/>
        </w:rPr>
        <w:t xml:space="preserve"> saisine, la méthodologie qu’elle mettra en œuvre pour apprécier la conformité du projet de contrat aux dispositions du règlement OSP et</w:t>
      </w:r>
      <w:r w:rsidR="00830E1A" w:rsidRPr="00320B87">
        <w:rPr>
          <w:rFonts w:asciiTheme="majorHAnsi" w:hAnsiTheme="majorHAnsi"/>
        </w:rPr>
        <w:t>, partant,</w:t>
      </w:r>
      <w:r w:rsidRPr="00320B87">
        <w:rPr>
          <w:rFonts w:asciiTheme="majorHAnsi" w:hAnsiTheme="majorHAnsi"/>
        </w:rPr>
        <w:t xml:space="preserve"> son interprétation de ces dispositions. </w:t>
      </w:r>
      <w:bookmarkEnd w:id="3"/>
    </w:p>
    <w:p w14:paraId="521884CA" w14:textId="2A694DEF" w:rsidR="00CA3BED" w:rsidRPr="00320B87" w:rsidRDefault="00CA3BED" w:rsidP="00DD4485">
      <w:pPr>
        <w:rPr>
          <w:rFonts w:asciiTheme="majorHAnsi" w:hAnsiTheme="majorHAnsi"/>
        </w:rPr>
      </w:pPr>
      <w:r w:rsidRPr="00320B87">
        <w:rPr>
          <w:rFonts w:asciiTheme="majorHAnsi" w:hAnsiTheme="majorHAnsi"/>
        </w:rPr>
        <w:t>Dans le cadre de l’élaboration de</w:t>
      </w:r>
      <w:r w:rsidR="00830E1A" w:rsidRPr="00320B87">
        <w:rPr>
          <w:rFonts w:asciiTheme="majorHAnsi" w:hAnsiTheme="majorHAnsi"/>
        </w:rPr>
        <w:t xml:space="preserve"> ce</w:t>
      </w:r>
      <w:r w:rsidRPr="00320B87">
        <w:rPr>
          <w:rFonts w:asciiTheme="majorHAnsi" w:hAnsiTheme="majorHAnsi"/>
        </w:rPr>
        <w:t>s lignes directrices, l’Autorité a procédé à une première consultation des différents acteurs du secteur pour appréhender l</w:t>
      </w:r>
      <w:r w:rsidR="00830E1A" w:rsidRPr="00320B87">
        <w:rPr>
          <w:rFonts w:asciiTheme="majorHAnsi" w:hAnsiTheme="majorHAnsi"/>
        </w:rPr>
        <w:t>eur</w:t>
      </w:r>
      <w:r w:rsidRPr="00320B87">
        <w:rPr>
          <w:rFonts w:asciiTheme="majorHAnsi" w:hAnsiTheme="majorHAnsi"/>
        </w:rPr>
        <w:t xml:space="preserve"> compréhension et le</w:t>
      </w:r>
      <w:r w:rsidR="00830E1A" w:rsidRPr="00320B87">
        <w:rPr>
          <w:rFonts w:asciiTheme="majorHAnsi" w:hAnsiTheme="majorHAnsi"/>
        </w:rPr>
        <w:t>ur</w:t>
      </w:r>
      <w:r w:rsidRPr="00320B87">
        <w:rPr>
          <w:rFonts w:asciiTheme="majorHAnsi" w:hAnsiTheme="majorHAnsi"/>
        </w:rPr>
        <w:t xml:space="preserve">s attentes </w:t>
      </w:r>
      <w:r w:rsidR="00830E1A" w:rsidRPr="00320B87">
        <w:rPr>
          <w:rFonts w:asciiTheme="majorHAnsi" w:hAnsiTheme="majorHAnsi"/>
        </w:rPr>
        <w:t>quant aux</w:t>
      </w:r>
      <w:r w:rsidRPr="00320B87">
        <w:rPr>
          <w:rFonts w:asciiTheme="majorHAnsi" w:hAnsiTheme="majorHAnsi"/>
        </w:rPr>
        <w:t xml:space="preserve"> dérogations prévues par le règlement OSP.</w:t>
      </w:r>
    </w:p>
    <w:p w14:paraId="07FC5F27" w14:textId="0D2471B7" w:rsidR="009467C9" w:rsidRPr="00F56993" w:rsidRDefault="00DB74B2" w:rsidP="00DD4485">
      <w:pPr>
        <w:rPr>
          <w:rFonts w:asciiTheme="majorHAnsi" w:hAnsiTheme="majorHAnsi"/>
          <w:b/>
          <w:bCs/>
        </w:rPr>
      </w:pPr>
      <w:r w:rsidRPr="00F56993">
        <w:rPr>
          <w:rFonts w:asciiTheme="majorHAnsi" w:hAnsiTheme="majorHAnsi"/>
          <w:b/>
          <w:bCs/>
        </w:rPr>
        <w:t xml:space="preserve">L’Autorité soumet </w:t>
      </w:r>
      <w:r w:rsidR="00CA3BED" w:rsidRPr="00F56993">
        <w:rPr>
          <w:rFonts w:asciiTheme="majorHAnsi" w:hAnsiTheme="majorHAnsi"/>
          <w:b/>
          <w:bCs/>
        </w:rPr>
        <w:t xml:space="preserve">à présent </w:t>
      </w:r>
      <w:r w:rsidRPr="00F56993">
        <w:rPr>
          <w:rFonts w:asciiTheme="majorHAnsi" w:hAnsiTheme="majorHAnsi"/>
          <w:b/>
          <w:bCs/>
        </w:rPr>
        <w:t>à la consultation publique le projet de lignes directrices qu’elle entend adopter</w:t>
      </w:r>
      <w:r w:rsidR="009467C9" w:rsidRPr="00F56993">
        <w:rPr>
          <w:rFonts w:asciiTheme="majorHAnsi" w:hAnsiTheme="majorHAnsi"/>
          <w:b/>
          <w:bCs/>
        </w:rPr>
        <w:t>.</w:t>
      </w:r>
    </w:p>
    <w:p w14:paraId="2A868742" w14:textId="476D715C" w:rsidR="00EB73C2" w:rsidRPr="00320B87" w:rsidRDefault="001A534F" w:rsidP="004828B7">
      <w:pPr>
        <w:pStyle w:val="Sous-titre"/>
        <w:spacing w:before="600" w:after="360" w:line="240" w:lineRule="auto"/>
        <w:rPr>
          <w:rFonts w:asciiTheme="majorHAnsi" w:hAnsiTheme="majorHAnsi"/>
          <w:b/>
          <w:bCs w:val="0"/>
          <w:sz w:val="21"/>
          <w:szCs w:val="21"/>
        </w:rPr>
      </w:pPr>
      <w:r>
        <w:rPr>
          <w:rFonts w:asciiTheme="majorHAnsi" w:hAnsiTheme="majorHAnsi"/>
          <w:b/>
          <w:bCs w:val="0"/>
          <w:sz w:val="21"/>
          <w:szCs w:val="21"/>
        </w:rPr>
        <w:lastRenderedPageBreak/>
        <w:t>M</w:t>
      </w:r>
      <w:r w:rsidR="00EB73C2" w:rsidRPr="00320B87">
        <w:rPr>
          <w:rFonts w:asciiTheme="majorHAnsi" w:hAnsiTheme="majorHAnsi"/>
          <w:b/>
          <w:bCs w:val="0"/>
          <w:sz w:val="21"/>
          <w:szCs w:val="21"/>
        </w:rPr>
        <w:t>odalités de la consultation publique</w:t>
      </w:r>
    </w:p>
    <w:p w14:paraId="05FFC23A" w14:textId="5599C0AB" w:rsidR="00EB73C2" w:rsidRPr="00320B87" w:rsidRDefault="00EB73C2">
      <w:pPr>
        <w:rPr>
          <w:rFonts w:asciiTheme="majorHAnsi" w:hAnsiTheme="majorHAnsi"/>
        </w:rPr>
      </w:pPr>
      <w:r w:rsidRPr="00320B87">
        <w:rPr>
          <w:rFonts w:asciiTheme="majorHAnsi" w:hAnsiTheme="majorHAnsi"/>
        </w:rPr>
        <w:t xml:space="preserve">Le présent document vise à consulter l’ensemble des acteurs </w:t>
      </w:r>
      <w:r w:rsidR="00830E1A" w:rsidRPr="00320B87">
        <w:rPr>
          <w:rFonts w:asciiTheme="majorHAnsi" w:hAnsiTheme="majorHAnsi"/>
        </w:rPr>
        <w:t>concernés</w:t>
      </w:r>
      <w:r w:rsidR="006461E0" w:rsidRPr="00320B87">
        <w:rPr>
          <w:rFonts w:asciiTheme="majorHAnsi" w:hAnsiTheme="majorHAnsi"/>
        </w:rPr>
        <w:t xml:space="preserve"> par la mise en œuvre des dérogations à l’obligation d’attribution concurrentielle des services conventionnés de transport ferroviaire de voyageurs prévues par le règlement OSP</w:t>
      </w:r>
      <w:r w:rsidR="00C26643" w:rsidRPr="00320B87">
        <w:rPr>
          <w:rFonts w:asciiTheme="majorHAnsi" w:hAnsiTheme="majorHAnsi"/>
        </w:rPr>
        <w:t>.</w:t>
      </w:r>
      <w:r w:rsidR="00927D6C" w:rsidRPr="00320B87">
        <w:rPr>
          <w:rFonts w:asciiTheme="majorHAnsi" w:hAnsiTheme="majorHAnsi"/>
        </w:rPr>
        <w:t xml:space="preserve"> </w:t>
      </w:r>
    </w:p>
    <w:p w14:paraId="3FCAD6FB" w14:textId="20F8BF5E" w:rsidR="00EB73C2" w:rsidRPr="00320B87" w:rsidRDefault="006461E0">
      <w:pPr>
        <w:rPr>
          <w:rFonts w:asciiTheme="majorHAnsi" w:hAnsiTheme="majorHAnsi"/>
        </w:rPr>
      </w:pPr>
      <w:r w:rsidRPr="00320B87">
        <w:rPr>
          <w:rFonts w:asciiTheme="majorHAnsi" w:hAnsiTheme="majorHAnsi"/>
        </w:rPr>
        <w:t>Outre les réponses aux questions posées dans la suite du document, l</w:t>
      </w:r>
      <w:r w:rsidR="00EB73C2" w:rsidRPr="00320B87">
        <w:rPr>
          <w:rFonts w:asciiTheme="majorHAnsi" w:hAnsiTheme="majorHAnsi"/>
        </w:rPr>
        <w:t xml:space="preserve">es </w:t>
      </w:r>
      <w:r w:rsidR="00B14E38" w:rsidRPr="00320B87">
        <w:rPr>
          <w:rFonts w:asciiTheme="majorHAnsi" w:hAnsiTheme="majorHAnsi"/>
        </w:rPr>
        <w:t>acteurs</w:t>
      </w:r>
      <w:r w:rsidR="00EB73C2" w:rsidRPr="00320B87">
        <w:rPr>
          <w:rFonts w:asciiTheme="majorHAnsi" w:hAnsiTheme="majorHAnsi"/>
        </w:rPr>
        <w:t xml:space="preserve"> intéressés peuvent </w:t>
      </w:r>
      <w:r w:rsidR="00585721" w:rsidRPr="00320B87">
        <w:rPr>
          <w:rFonts w:asciiTheme="majorHAnsi" w:hAnsiTheme="majorHAnsi"/>
        </w:rPr>
        <w:t>formuler toutes les</w:t>
      </w:r>
      <w:r w:rsidR="00EB73C2" w:rsidRPr="00320B87">
        <w:rPr>
          <w:rFonts w:asciiTheme="majorHAnsi" w:hAnsiTheme="majorHAnsi"/>
        </w:rPr>
        <w:t xml:space="preserve"> observations qu’</w:t>
      </w:r>
      <w:r w:rsidR="00B14E38" w:rsidRPr="00320B87">
        <w:rPr>
          <w:rFonts w:asciiTheme="majorHAnsi" w:hAnsiTheme="majorHAnsi"/>
        </w:rPr>
        <w:t>il</w:t>
      </w:r>
      <w:r w:rsidR="00EB73C2" w:rsidRPr="00320B87">
        <w:rPr>
          <w:rFonts w:asciiTheme="majorHAnsi" w:hAnsiTheme="majorHAnsi"/>
        </w:rPr>
        <w:t xml:space="preserve">s souhaitent </w:t>
      </w:r>
      <w:r w:rsidR="00585721" w:rsidRPr="00320B87">
        <w:rPr>
          <w:rFonts w:asciiTheme="majorHAnsi" w:hAnsiTheme="majorHAnsi"/>
        </w:rPr>
        <w:t>sur le sujet objet de la présente consultation</w:t>
      </w:r>
      <w:r w:rsidR="00EB73C2" w:rsidRPr="00320B87">
        <w:rPr>
          <w:rFonts w:asciiTheme="majorHAnsi" w:hAnsiTheme="majorHAnsi"/>
        </w:rPr>
        <w:t>.</w:t>
      </w:r>
    </w:p>
    <w:p w14:paraId="63A61F97" w14:textId="4CA2AFF6" w:rsidR="00EB73C2" w:rsidRPr="00320B87" w:rsidRDefault="00585721">
      <w:pPr>
        <w:rPr>
          <w:rFonts w:asciiTheme="majorHAnsi" w:eastAsia="Franklin Gothic Book" w:hAnsiTheme="majorHAnsi"/>
        </w:rPr>
      </w:pPr>
      <w:r w:rsidRPr="00320B87">
        <w:rPr>
          <w:rFonts w:asciiTheme="majorHAnsi" w:eastAsia="Franklin Gothic Book" w:hAnsiTheme="majorHAnsi"/>
        </w:rPr>
        <w:t>Les réponses aux questions</w:t>
      </w:r>
      <w:r w:rsidR="00EB73C2" w:rsidRPr="00320B87">
        <w:rPr>
          <w:rFonts w:asciiTheme="majorHAnsi" w:eastAsia="Franklin Gothic Book" w:hAnsiTheme="majorHAnsi"/>
        </w:rPr>
        <w:t>, ainsi que toutes</w:t>
      </w:r>
      <w:r w:rsidRPr="00320B87">
        <w:rPr>
          <w:rFonts w:asciiTheme="majorHAnsi" w:eastAsia="Franklin Gothic Book" w:hAnsiTheme="majorHAnsi"/>
        </w:rPr>
        <w:t xml:space="preserve"> les</w:t>
      </w:r>
      <w:r w:rsidR="00EB73C2" w:rsidRPr="00320B87">
        <w:rPr>
          <w:rFonts w:asciiTheme="majorHAnsi" w:eastAsia="Franklin Gothic Book" w:hAnsiTheme="majorHAnsi"/>
        </w:rPr>
        <w:t xml:space="preserve"> </w:t>
      </w:r>
      <w:r w:rsidRPr="00320B87">
        <w:rPr>
          <w:rFonts w:asciiTheme="majorHAnsi" w:eastAsia="Franklin Gothic Book" w:hAnsiTheme="majorHAnsi"/>
        </w:rPr>
        <w:t>observations</w:t>
      </w:r>
      <w:r w:rsidR="00EB73C2" w:rsidRPr="00320B87">
        <w:rPr>
          <w:rFonts w:asciiTheme="majorHAnsi" w:eastAsia="Franklin Gothic Book" w:hAnsiTheme="majorHAnsi"/>
        </w:rPr>
        <w:t xml:space="preserve"> qui apparaîtraient opportunes pour éclairer l’Autorité, peuvent être transmises jusqu’au </w:t>
      </w:r>
      <w:r w:rsidR="0025023A">
        <w:rPr>
          <w:rFonts w:asciiTheme="majorHAnsi" w:eastAsia="Franklin Gothic Book" w:hAnsiTheme="majorHAnsi"/>
          <w:b/>
          <w:bCs/>
        </w:rPr>
        <w:t>2 avril</w:t>
      </w:r>
      <w:r w:rsidR="00DB74B2" w:rsidRPr="00320B87">
        <w:rPr>
          <w:rFonts w:asciiTheme="majorHAnsi" w:eastAsia="Franklin Gothic Book" w:hAnsiTheme="majorHAnsi"/>
          <w:b/>
          <w:bCs/>
        </w:rPr>
        <w:t xml:space="preserve"> 2024</w:t>
      </w:r>
      <w:r w:rsidR="00EB73C2" w:rsidRPr="00320B87">
        <w:rPr>
          <w:rFonts w:asciiTheme="majorHAnsi" w:eastAsia="Franklin Gothic Book" w:hAnsiTheme="majorHAnsi"/>
        </w:rPr>
        <w:t xml:space="preserve">, par courriel, à l’adresse suivante : </w:t>
      </w:r>
      <w:hyperlink r:id="rId11" w:history="1">
        <w:r w:rsidR="00EB73C2" w:rsidRPr="00320B87">
          <w:rPr>
            <w:rStyle w:val="Lienhypertexte"/>
            <w:rFonts w:asciiTheme="majorHAnsi" w:eastAsia="Franklin Gothic Book" w:hAnsiTheme="majorHAnsi"/>
          </w:rPr>
          <w:t>consultation.publique@autorite-transports.fr</w:t>
        </w:r>
      </w:hyperlink>
      <w:r w:rsidR="00EB73C2" w:rsidRPr="00320B87">
        <w:rPr>
          <w:rFonts w:asciiTheme="majorHAnsi" w:eastAsia="Franklin Gothic Book" w:hAnsiTheme="majorHAnsi"/>
          <w:color w:val="6C8A99"/>
          <w:u w:val="single"/>
        </w:rPr>
        <w:t xml:space="preserve"> </w:t>
      </w:r>
    </w:p>
    <w:p w14:paraId="4007B2E4" w14:textId="46E8DF3A" w:rsidR="00C13BE0" w:rsidRDefault="00DB74B2" w:rsidP="00E02C53">
      <w:pPr>
        <w:rPr>
          <w:rFonts w:asciiTheme="majorHAnsi" w:hAnsiTheme="majorHAnsi"/>
        </w:rPr>
      </w:pPr>
      <w:r w:rsidRPr="00320B87">
        <w:rPr>
          <w:rFonts w:asciiTheme="majorHAnsi" w:hAnsiTheme="majorHAnsi"/>
        </w:rPr>
        <w:t>L’Autorité se réserve la possibilité de publier les réponses à la consultation publique ou une synthèse de ces dernières</w:t>
      </w:r>
      <w:r w:rsidR="00C13BE0" w:rsidRPr="00320B87">
        <w:rPr>
          <w:rFonts w:asciiTheme="majorHAnsi" w:hAnsiTheme="majorHAnsi"/>
        </w:rPr>
        <w:t xml:space="preserve">. </w:t>
      </w:r>
      <w:r w:rsidRPr="00320B87">
        <w:rPr>
          <w:rFonts w:asciiTheme="majorHAnsi" w:hAnsiTheme="majorHAnsi"/>
        </w:rPr>
        <w:t>Les contributeurs</w:t>
      </w:r>
      <w:r w:rsidR="00C13BE0" w:rsidRPr="00320B87">
        <w:rPr>
          <w:rFonts w:asciiTheme="majorHAnsi" w:hAnsiTheme="majorHAnsi"/>
        </w:rPr>
        <w:t xml:space="preserve"> sont invités à mentionner les passages qu’ils souhaitent garder confidentiels</w:t>
      </w:r>
      <w:r w:rsidR="00601192" w:rsidRPr="00320B87">
        <w:rPr>
          <w:rFonts w:asciiTheme="majorHAnsi" w:hAnsiTheme="majorHAnsi"/>
        </w:rPr>
        <w:t>,</w:t>
      </w:r>
      <w:r w:rsidR="00C13BE0" w:rsidRPr="00320B87">
        <w:rPr>
          <w:rFonts w:asciiTheme="majorHAnsi" w:hAnsiTheme="majorHAnsi"/>
        </w:rPr>
        <w:t xml:space="preserve"> ainsi que les éléments qu’ils considèrent couverts par un secret protégé par la loi. </w:t>
      </w:r>
      <w:r w:rsidR="00E14B9D" w:rsidRPr="00320B87">
        <w:rPr>
          <w:rFonts w:asciiTheme="majorHAnsi" w:hAnsiTheme="majorHAnsi"/>
        </w:rPr>
        <w:t>Enfin</w:t>
      </w:r>
      <w:r w:rsidR="00C13BE0" w:rsidRPr="00320B87">
        <w:rPr>
          <w:rFonts w:asciiTheme="majorHAnsi" w:hAnsiTheme="majorHAnsi"/>
        </w:rPr>
        <w:t xml:space="preserve">, </w:t>
      </w:r>
      <w:r w:rsidR="00E14B9D" w:rsidRPr="00320B87">
        <w:rPr>
          <w:rFonts w:asciiTheme="majorHAnsi" w:hAnsiTheme="majorHAnsi"/>
        </w:rPr>
        <w:t>l</w:t>
      </w:r>
      <w:r w:rsidR="00C13BE0" w:rsidRPr="00320B87">
        <w:rPr>
          <w:rFonts w:asciiTheme="majorHAnsi" w:hAnsiTheme="majorHAnsi"/>
        </w:rPr>
        <w:t xml:space="preserve">es réponses formulées dans le cadre de cette consultation </w:t>
      </w:r>
      <w:r w:rsidR="00E14B9D" w:rsidRPr="00320B87">
        <w:rPr>
          <w:rFonts w:asciiTheme="majorHAnsi" w:hAnsiTheme="majorHAnsi"/>
        </w:rPr>
        <w:t xml:space="preserve">ne seront utilisées par l’Autorité que </w:t>
      </w:r>
      <w:r w:rsidR="00FE4AD4" w:rsidRPr="00320B87">
        <w:rPr>
          <w:rFonts w:asciiTheme="majorHAnsi" w:hAnsiTheme="majorHAnsi"/>
        </w:rPr>
        <w:t>dans le cadre des travaux relatifs aux présentes</w:t>
      </w:r>
      <w:r w:rsidR="00AC19E6" w:rsidRPr="00320B87">
        <w:rPr>
          <w:rFonts w:asciiTheme="majorHAnsi" w:hAnsiTheme="majorHAnsi"/>
        </w:rPr>
        <w:t xml:space="preserve"> </w:t>
      </w:r>
      <w:r w:rsidR="00E14B9D" w:rsidRPr="00320B87">
        <w:rPr>
          <w:rFonts w:asciiTheme="majorHAnsi" w:hAnsiTheme="majorHAnsi"/>
        </w:rPr>
        <w:t xml:space="preserve">lignes directrices, à l’exclusion d’autres procédures ou instructions relevant de son champ de compétence. </w:t>
      </w:r>
    </w:p>
    <w:p w14:paraId="2C306BDB" w14:textId="42662ABB" w:rsidR="00320B87" w:rsidRPr="00320B87" w:rsidRDefault="00320B87" w:rsidP="00F56993">
      <w:pPr>
        <w:jc w:val="center"/>
        <w:rPr>
          <w:rFonts w:asciiTheme="majorHAnsi" w:hAnsiTheme="majorHAnsi"/>
        </w:rPr>
      </w:pPr>
      <w:r>
        <w:rPr>
          <w:rFonts w:asciiTheme="majorHAnsi" w:hAnsiTheme="majorHAnsi"/>
        </w:rPr>
        <w:t>*</w:t>
      </w:r>
    </w:p>
    <w:p w14:paraId="1007957D" w14:textId="77777777" w:rsidR="00B14E38" w:rsidRPr="00320B87" w:rsidRDefault="00B14E38">
      <w:pPr>
        <w:spacing w:before="0" w:after="0" w:line="280" w:lineRule="atLeast"/>
        <w:jc w:val="left"/>
        <w:rPr>
          <w:rFonts w:asciiTheme="majorHAnsi" w:hAnsiTheme="majorHAnsi"/>
        </w:rPr>
      </w:pPr>
      <w:r w:rsidRPr="00320B87">
        <w:rPr>
          <w:rFonts w:asciiTheme="majorHAnsi" w:hAnsiTheme="majorHAnsi"/>
        </w:rPr>
        <w:br w:type="page"/>
      </w:r>
    </w:p>
    <w:p w14:paraId="11D22BF8" w14:textId="3595C0EB" w:rsidR="001A534F" w:rsidRPr="00F56993" w:rsidRDefault="001A534F" w:rsidP="00EB1D16">
      <w:pPr>
        <w:rPr>
          <w:rFonts w:asciiTheme="majorHAnsi" w:hAnsiTheme="majorHAnsi"/>
          <w:b/>
          <w:bCs/>
          <w:color w:val="002060"/>
          <w:sz w:val="28"/>
          <w:szCs w:val="28"/>
        </w:rPr>
      </w:pPr>
      <w:r w:rsidRPr="00F56993">
        <w:rPr>
          <w:rFonts w:asciiTheme="majorHAnsi" w:hAnsiTheme="majorHAnsi"/>
          <w:b/>
          <w:bCs/>
          <w:caps/>
          <w:color w:val="002060"/>
          <w:sz w:val="28"/>
          <w:szCs w:val="28"/>
          <w:u w:val="single"/>
        </w:rPr>
        <w:lastRenderedPageBreak/>
        <w:t>PARTIE A</w:t>
      </w:r>
      <w:r w:rsidRPr="00F56993">
        <w:rPr>
          <w:rFonts w:asciiTheme="majorHAnsi" w:hAnsiTheme="majorHAnsi"/>
          <w:b/>
          <w:bCs/>
          <w:caps/>
          <w:color w:val="002060"/>
          <w:sz w:val="28"/>
          <w:szCs w:val="28"/>
        </w:rPr>
        <w:t xml:space="preserve"> : </w:t>
      </w:r>
      <w:r w:rsidRPr="00F56993">
        <w:rPr>
          <w:rFonts w:asciiTheme="majorHAnsi" w:hAnsiTheme="majorHAnsi"/>
          <w:b/>
          <w:bCs/>
          <w:color w:val="002060"/>
          <w:sz w:val="28"/>
          <w:szCs w:val="28"/>
        </w:rPr>
        <w:t>É</w:t>
      </w:r>
      <w:r w:rsidR="00D73787">
        <w:rPr>
          <w:rFonts w:asciiTheme="majorHAnsi" w:hAnsiTheme="majorHAnsi"/>
          <w:b/>
          <w:bCs/>
          <w:color w:val="002060"/>
          <w:sz w:val="28"/>
          <w:szCs w:val="28"/>
        </w:rPr>
        <w:t>lé</w:t>
      </w:r>
      <w:r w:rsidRPr="00F56993">
        <w:rPr>
          <w:rFonts w:asciiTheme="majorHAnsi" w:hAnsiTheme="majorHAnsi"/>
          <w:b/>
          <w:bCs/>
          <w:color w:val="002060"/>
          <w:sz w:val="28"/>
          <w:szCs w:val="28"/>
        </w:rPr>
        <w:t xml:space="preserve">ments de </w:t>
      </w:r>
      <w:r w:rsidR="00D73787">
        <w:rPr>
          <w:rFonts w:asciiTheme="majorHAnsi" w:hAnsiTheme="majorHAnsi"/>
          <w:b/>
          <w:bCs/>
          <w:color w:val="002060"/>
          <w:sz w:val="28"/>
          <w:szCs w:val="28"/>
        </w:rPr>
        <w:t>contexte</w:t>
      </w:r>
    </w:p>
    <w:p w14:paraId="65C30B0F" w14:textId="4D16C419" w:rsidR="00EB1D16" w:rsidRPr="00F56993" w:rsidRDefault="00EB1D16" w:rsidP="00EB1D16">
      <w:pPr>
        <w:pStyle w:val="Paragraphenumrot"/>
        <w:numPr>
          <w:ilvl w:val="0"/>
          <w:numId w:val="0"/>
        </w:numPr>
        <w:rPr>
          <w:rFonts w:asciiTheme="majorHAnsi" w:hAnsiTheme="majorHAnsi"/>
        </w:rPr>
      </w:pPr>
      <w:r w:rsidRPr="00F56993">
        <w:rPr>
          <w:rFonts w:asciiTheme="majorHAnsi" w:hAnsiTheme="majorHAnsi"/>
        </w:rPr>
        <w:t xml:space="preserve">Le </w:t>
      </w:r>
      <w:r w:rsidR="00320B87" w:rsidRPr="00320B87">
        <w:rPr>
          <w:rFonts w:asciiTheme="majorHAnsi" w:hAnsiTheme="majorHAnsi"/>
        </w:rPr>
        <w:t xml:space="preserve">règlement n° 1370/2007 du 23 octobre 2007 relatif aux services publics de transport de voyageurs par chemin de fer et par route (le « règlement OSP ») </w:t>
      </w:r>
      <w:r w:rsidRPr="00F56993">
        <w:rPr>
          <w:rFonts w:asciiTheme="majorHAnsi" w:hAnsiTheme="majorHAnsi"/>
        </w:rPr>
        <w:t xml:space="preserve">pose le principe d’une attribution des contrats de service public de transport ferroviaire de voyageurs après mise en concurrence à compter du 25 décembre 2023. </w:t>
      </w:r>
      <w:bookmarkStart w:id="4" w:name="_Hlk160093292"/>
      <w:r w:rsidR="00B33D1B">
        <w:t xml:space="preserve">Le champ de ces contrats doit, comme l’a rappelé la commission dans ses lignes directrices du 26 juin 2023 susvisées, être défini au terme d’une analyse de l’offre du marché dans la mesure où « il ne saurait y avoir de besoin réel de service public si la demande des usagers est déjà susceptible d’être satisfaite par les opérateurs en l’absence d’obligation en ce sens fixée par les pouvoirs publics ».  </w:t>
      </w:r>
      <w:bookmarkEnd w:id="4"/>
    </w:p>
    <w:p w14:paraId="068C34FD" w14:textId="77777777" w:rsidR="00EB1D16" w:rsidRPr="00F56993" w:rsidRDefault="00EB1D16" w:rsidP="00EB1D16">
      <w:pPr>
        <w:pStyle w:val="Paragraphenumrot"/>
        <w:numPr>
          <w:ilvl w:val="0"/>
          <w:numId w:val="0"/>
        </w:numPr>
        <w:rPr>
          <w:rFonts w:asciiTheme="majorHAnsi" w:hAnsiTheme="majorHAnsi"/>
        </w:rPr>
      </w:pPr>
      <w:r w:rsidRPr="00F56993">
        <w:rPr>
          <w:rFonts w:asciiTheme="majorHAnsi" w:hAnsiTheme="majorHAnsi"/>
        </w:rPr>
        <w:t>Ce règlement prévoit six dérogations à cette obligation, le recours à trois d’entre elles étant soumis au contrôle de l’Autorité.</w:t>
      </w:r>
    </w:p>
    <w:p w14:paraId="7450AD19" w14:textId="7D6DCCEB" w:rsidR="00EB1D16" w:rsidRPr="00320B87" w:rsidRDefault="00EB1D16" w:rsidP="00F56993">
      <w:r w:rsidRPr="00F56993">
        <w:rPr>
          <w:rFonts w:asciiTheme="majorHAnsi" w:hAnsiTheme="majorHAnsi"/>
        </w:rPr>
        <w:t>En application de l’article 4 du décret du 15 juin 2020 susvisé, l’Autorité fixe, au travers de lignes directrices, la méthode qu’elle appliquera lorsqu’elle sera saisie préalablement au recours par une AOT à une dérogation relevant de sa compétence et le contenu du dossier de saisine.</w:t>
      </w:r>
    </w:p>
    <w:p w14:paraId="560D82B4" w14:textId="77777777" w:rsidR="00EB1D16" w:rsidRPr="00F56993" w:rsidRDefault="00EB1D16" w:rsidP="00F77784">
      <w:pPr>
        <w:pStyle w:val="Titre1"/>
        <w:rPr>
          <w:rStyle w:val="cf01"/>
          <w:rFonts w:asciiTheme="majorHAnsi" w:hAnsiTheme="majorHAnsi" w:cs="Times New Roman"/>
          <w:sz w:val="24"/>
          <w:szCs w:val="24"/>
        </w:rPr>
      </w:pPr>
      <w:bookmarkStart w:id="5" w:name="_Toc156837929"/>
      <w:bookmarkStart w:id="6" w:name="_Toc156841765"/>
      <w:bookmarkStart w:id="7" w:name="_Toc158108819"/>
      <w:bookmarkStart w:id="8" w:name="_Toc160043518"/>
      <w:r w:rsidRPr="00F56993">
        <w:rPr>
          <w:rStyle w:val="cf01"/>
          <w:rFonts w:asciiTheme="majorHAnsi" w:hAnsiTheme="majorHAnsi" w:cs="Times New Roman"/>
          <w:sz w:val="24"/>
          <w:szCs w:val="24"/>
        </w:rPr>
        <w:t>Malgré les bénéfices attendus de l’ouverture à la concurrence des services conventionnés, le processus est faiblement engagé</w:t>
      </w:r>
      <w:bookmarkEnd w:id="5"/>
      <w:bookmarkEnd w:id="6"/>
      <w:bookmarkEnd w:id="7"/>
      <w:bookmarkEnd w:id="8"/>
    </w:p>
    <w:p w14:paraId="5F5C1F83" w14:textId="77777777" w:rsidR="00EB1D16" w:rsidRPr="00F56993" w:rsidRDefault="00EB1D16" w:rsidP="00F56993">
      <w:pPr>
        <w:pStyle w:val="Titre2"/>
        <w:spacing w:before="240" w:after="0"/>
        <w:ind w:left="850" w:hanging="425"/>
        <w:rPr>
          <w:rStyle w:val="cf01"/>
          <w:rFonts w:asciiTheme="majorHAnsi" w:hAnsiTheme="majorHAnsi" w:cs="Times New Roman"/>
          <w:bCs/>
          <w:sz w:val="22"/>
          <w:szCs w:val="22"/>
        </w:rPr>
      </w:pPr>
      <w:bookmarkStart w:id="9" w:name="_Toc156837930"/>
      <w:bookmarkStart w:id="10" w:name="_Toc156841766"/>
      <w:bookmarkStart w:id="11" w:name="_Toc158108820"/>
      <w:bookmarkStart w:id="12" w:name="_Toc160043519"/>
      <w:r w:rsidRPr="00F56993">
        <w:rPr>
          <w:rStyle w:val="cf01"/>
          <w:rFonts w:asciiTheme="majorHAnsi" w:hAnsiTheme="majorHAnsi" w:cs="Times New Roman"/>
          <w:bCs/>
          <w:sz w:val="22"/>
          <w:szCs w:val="22"/>
        </w:rPr>
        <w:t>L’ouverture à la concurrence des services conventionnés devrait être source d’importants bénéfices pour le marché</w:t>
      </w:r>
      <w:bookmarkEnd w:id="9"/>
      <w:bookmarkEnd w:id="10"/>
      <w:bookmarkEnd w:id="11"/>
      <w:bookmarkEnd w:id="12"/>
    </w:p>
    <w:p w14:paraId="6C31C28C" w14:textId="77777777" w:rsidR="00EB1D16" w:rsidRPr="00F56993" w:rsidRDefault="00EB1D16" w:rsidP="00EB1D16">
      <w:pPr>
        <w:pStyle w:val="Paragraphenumrot"/>
        <w:numPr>
          <w:ilvl w:val="0"/>
          <w:numId w:val="0"/>
        </w:numPr>
        <w:rPr>
          <w:rStyle w:val="cf01"/>
          <w:rFonts w:asciiTheme="majorHAnsi" w:hAnsiTheme="majorHAnsi"/>
          <w:b/>
          <w:bCs/>
          <w:sz w:val="21"/>
          <w:szCs w:val="21"/>
        </w:rPr>
      </w:pPr>
      <w:r w:rsidRPr="00F56993">
        <w:rPr>
          <w:rStyle w:val="cf01"/>
          <w:rFonts w:asciiTheme="majorHAnsi" w:hAnsiTheme="majorHAnsi"/>
          <w:b/>
          <w:bCs/>
          <w:sz w:val="21"/>
          <w:szCs w:val="21"/>
        </w:rPr>
        <w:t xml:space="preserve">Les bénéfices attendus </w:t>
      </w:r>
      <w:r w:rsidRPr="00F56993">
        <w:rPr>
          <w:rFonts w:asciiTheme="majorHAnsi" w:hAnsiTheme="majorHAnsi"/>
          <w:b/>
          <w:bCs/>
        </w:rPr>
        <w:t xml:space="preserve">pour le marché </w:t>
      </w:r>
      <w:r w:rsidRPr="00F56993">
        <w:rPr>
          <w:rStyle w:val="cf01"/>
          <w:rFonts w:asciiTheme="majorHAnsi" w:hAnsiTheme="majorHAnsi"/>
          <w:b/>
          <w:bCs/>
          <w:sz w:val="21"/>
          <w:szCs w:val="21"/>
        </w:rPr>
        <w:t>de l’ouverture à la concurrence sont :</w:t>
      </w:r>
    </w:p>
    <w:p w14:paraId="4C016C85" w14:textId="77777777" w:rsidR="00EB1D16" w:rsidRPr="00F56993" w:rsidRDefault="00EB1D16" w:rsidP="00EB1D16">
      <w:pPr>
        <w:pStyle w:val="Paragraphenumrot"/>
        <w:numPr>
          <w:ilvl w:val="0"/>
          <w:numId w:val="13"/>
        </w:numPr>
        <w:spacing w:before="240" w:after="240"/>
        <w:rPr>
          <w:rStyle w:val="cf01"/>
          <w:rFonts w:asciiTheme="majorHAnsi" w:hAnsiTheme="majorHAnsi"/>
          <w:sz w:val="21"/>
          <w:szCs w:val="21"/>
        </w:rPr>
      </w:pPr>
      <w:proofErr w:type="gramStart"/>
      <w:r w:rsidRPr="00F56993">
        <w:rPr>
          <w:rStyle w:val="cf01"/>
          <w:rFonts w:asciiTheme="majorHAnsi" w:hAnsiTheme="majorHAnsi"/>
          <w:sz w:val="21"/>
          <w:szCs w:val="21"/>
        </w:rPr>
        <w:t>d’une</w:t>
      </w:r>
      <w:proofErr w:type="gramEnd"/>
      <w:r w:rsidRPr="00F56993">
        <w:rPr>
          <w:rStyle w:val="cf01"/>
          <w:rFonts w:asciiTheme="majorHAnsi" w:hAnsiTheme="majorHAnsi"/>
          <w:sz w:val="21"/>
          <w:szCs w:val="21"/>
        </w:rPr>
        <w:t xml:space="preserve"> part, une baisse des coûts d’exploitation, qui conduit à la diminution des montants des financements publics afférents, à niveau d’offre constant, ou à un accroissement de l’offre de transport ferroviaire, notamment par une amélioration de la fréquence des dessertes ; </w:t>
      </w:r>
    </w:p>
    <w:p w14:paraId="6DAD074D" w14:textId="77777777" w:rsidR="00EB1D16" w:rsidRPr="00F56993" w:rsidRDefault="00EB1D16" w:rsidP="00EB1D16">
      <w:pPr>
        <w:pStyle w:val="Paragraphenumrot"/>
        <w:numPr>
          <w:ilvl w:val="0"/>
          <w:numId w:val="13"/>
        </w:numPr>
        <w:spacing w:before="240" w:after="240"/>
        <w:rPr>
          <w:rStyle w:val="cf01"/>
          <w:rFonts w:asciiTheme="majorHAnsi" w:hAnsiTheme="majorHAnsi"/>
          <w:sz w:val="21"/>
          <w:szCs w:val="21"/>
        </w:rPr>
      </w:pPr>
      <w:proofErr w:type="gramStart"/>
      <w:r w:rsidRPr="00F56993">
        <w:rPr>
          <w:rStyle w:val="cf01"/>
          <w:rFonts w:asciiTheme="majorHAnsi" w:hAnsiTheme="majorHAnsi"/>
          <w:sz w:val="21"/>
          <w:szCs w:val="21"/>
        </w:rPr>
        <w:t>d’autre</w:t>
      </w:r>
      <w:proofErr w:type="gramEnd"/>
      <w:r w:rsidRPr="00F56993">
        <w:rPr>
          <w:rStyle w:val="cf01"/>
          <w:rFonts w:asciiTheme="majorHAnsi" w:hAnsiTheme="majorHAnsi"/>
          <w:sz w:val="21"/>
          <w:szCs w:val="21"/>
        </w:rPr>
        <w:t xml:space="preserve"> part, une amélioration de la ponctualité, de la fiabilité ainsi que des services à bord des trains, notamment par la mise en place des dispositifs incitatifs à la performance. </w:t>
      </w:r>
    </w:p>
    <w:p w14:paraId="21FDFEC6" w14:textId="77777777" w:rsidR="00EB1D16" w:rsidRPr="00F56993" w:rsidRDefault="00EB1D16" w:rsidP="00EB1D16">
      <w:pPr>
        <w:pStyle w:val="Paragraphenumrot"/>
        <w:numPr>
          <w:ilvl w:val="0"/>
          <w:numId w:val="0"/>
        </w:numPr>
        <w:rPr>
          <w:rFonts w:asciiTheme="majorHAnsi" w:hAnsiTheme="majorHAnsi"/>
        </w:rPr>
      </w:pPr>
      <w:r w:rsidRPr="00F56993">
        <w:rPr>
          <w:rFonts w:asciiTheme="majorHAnsi" w:hAnsiTheme="majorHAnsi"/>
        </w:rPr>
        <w:t xml:space="preserve">Les comparaisons européennes mettent en évidence que le coût des services conventionnés est aujourd’hui, en France, plus élevé qu’en Allemagne, en Italie, en Espagne et en Belgique et que l’ouverture à la concurrence a entraîné une diminution des coûts de production des services conventionnés en Europe, pouvant aller jusqu’à 20 voire 30 %. </w:t>
      </w:r>
    </w:p>
    <w:p w14:paraId="2823B7B1" w14:textId="77777777" w:rsidR="00EB1D16" w:rsidRPr="00F56993" w:rsidRDefault="00EB1D16" w:rsidP="00EB1D16">
      <w:pPr>
        <w:pStyle w:val="Paragraphenumrot"/>
        <w:numPr>
          <w:ilvl w:val="0"/>
          <w:numId w:val="0"/>
        </w:numPr>
        <w:rPr>
          <w:rStyle w:val="cf01"/>
          <w:rFonts w:asciiTheme="majorHAnsi" w:hAnsiTheme="majorHAnsi"/>
          <w:b/>
          <w:bCs/>
          <w:sz w:val="21"/>
          <w:szCs w:val="21"/>
        </w:rPr>
      </w:pPr>
      <w:r w:rsidRPr="00F56993">
        <w:rPr>
          <w:rStyle w:val="cf01"/>
          <w:rFonts w:asciiTheme="majorHAnsi" w:hAnsiTheme="majorHAnsi"/>
          <w:sz w:val="21"/>
          <w:szCs w:val="21"/>
        </w:rPr>
        <w:t>L’étude sur l’ouverture à la concurrence publiée par l’Autorité en février 2022</w:t>
      </w:r>
      <w:r w:rsidRPr="00F56993">
        <w:rPr>
          <w:rStyle w:val="Appelnotedebasdep"/>
          <w:rFonts w:asciiTheme="majorHAnsi" w:hAnsiTheme="majorHAnsi"/>
        </w:rPr>
        <w:footnoteReference w:id="3"/>
      </w:r>
      <w:r w:rsidRPr="00F56993">
        <w:rPr>
          <w:rStyle w:val="cf01"/>
          <w:rFonts w:asciiTheme="majorHAnsi" w:hAnsiTheme="majorHAnsi"/>
          <w:sz w:val="21"/>
          <w:szCs w:val="21"/>
        </w:rPr>
        <w:t xml:space="preserve"> a ainsi pris pour exemple le cas de l’Allemagne pour lequel l’ouverture à la concurrence et les appels d’offres ont permis de diminuer les coûts d’exploitation de 20 à 30 % en fonction des contrats en cause</w:t>
      </w:r>
      <w:r w:rsidRPr="00F56993">
        <w:rPr>
          <w:rStyle w:val="Appelnotedebasdep"/>
          <w:rFonts w:asciiTheme="majorHAnsi" w:hAnsiTheme="majorHAnsi"/>
        </w:rPr>
        <w:footnoteReference w:id="4"/>
      </w:r>
      <w:r w:rsidRPr="00F56993">
        <w:rPr>
          <w:rStyle w:val="cf01"/>
          <w:rFonts w:asciiTheme="majorHAnsi" w:hAnsiTheme="majorHAnsi"/>
          <w:sz w:val="21"/>
          <w:szCs w:val="21"/>
        </w:rPr>
        <w:t xml:space="preserve">, </w:t>
      </w:r>
      <w:r w:rsidRPr="00F56993">
        <w:rPr>
          <w:rFonts w:asciiTheme="majorHAnsi" w:hAnsiTheme="majorHAnsi"/>
        </w:rPr>
        <w:t>la baisse observée étant encore plus importante sur les services conventionnés régionaux longue distance. De même, entre le début de l’ouverture à la concurrence et 2015, les coûts d’exploitation par train-kilomètre des entreprises ferroviaires ont baissé dans une fourchette comprise entre 20 % et 30 % en Suède. Liée en partie à cette baisse des coûts, la part des concours publics dans les recettes globales des services conventionnés (incluant les services en attribution sans appel d’offres) a diminué en Allemagne et en Italie de manière continue. À titre de comparaison, en France, en Espagne et en Belgique, où les marchés n’avaient pas été ouverts à la concurrence en 2019, la part des concours publics dans la recette totale augmente. C’est notamment le cas en Espagne, où elle est passée de 44 % à 60 % entre 2011 et 2019. En France, la part des financements publics se situe à un niveau plus élevé que chez nos voisins (74 % en 2021).</w:t>
      </w:r>
    </w:p>
    <w:p w14:paraId="7D4AB8E5" w14:textId="77777777" w:rsidR="00EB1D16" w:rsidRPr="00F56993" w:rsidRDefault="00EB1D16" w:rsidP="00EB1D16">
      <w:pPr>
        <w:pStyle w:val="Lgende"/>
        <w:keepNext/>
        <w:jc w:val="both"/>
        <w:rPr>
          <w:rFonts w:asciiTheme="majorHAnsi" w:hAnsiTheme="majorHAnsi"/>
        </w:rPr>
      </w:pPr>
      <w:r w:rsidRPr="00F56993">
        <w:rPr>
          <w:rFonts w:asciiTheme="majorHAnsi" w:hAnsiTheme="majorHAnsi"/>
        </w:rPr>
        <w:lastRenderedPageBreak/>
        <w:t xml:space="preserve">Figure </w:t>
      </w:r>
      <w:r w:rsidRPr="00F56993">
        <w:rPr>
          <w:rFonts w:asciiTheme="majorHAnsi" w:hAnsiTheme="majorHAnsi"/>
        </w:rPr>
        <w:fldChar w:fldCharType="begin"/>
      </w:r>
      <w:r w:rsidRPr="00F56993">
        <w:rPr>
          <w:rFonts w:asciiTheme="majorHAnsi" w:hAnsiTheme="majorHAnsi"/>
        </w:rPr>
        <w:instrText xml:space="preserve"> SEQ Figure \* ARABIC </w:instrText>
      </w:r>
      <w:r w:rsidRPr="00F56993">
        <w:rPr>
          <w:rFonts w:asciiTheme="majorHAnsi" w:hAnsiTheme="majorHAnsi"/>
        </w:rPr>
        <w:fldChar w:fldCharType="separate"/>
      </w:r>
      <w:r w:rsidRPr="00F56993">
        <w:rPr>
          <w:rFonts w:asciiTheme="majorHAnsi" w:hAnsiTheme="majorHAnsi"/>
          <w:noProof/>
        </w:rPr>
        <w:t>1</w:t>
      </w:r>
      <w:r w:rsidRPr="00F56993">
        <w:rPr>
          <w:rFonts w:asciiTheme="majorHAnsi" w:hAnsiTheme="majorHAnsi"/>
          <w:noProof/>
        </w:rPr>
        <w:fldChar w:fldCharType="end"/>
      </w:r>
      <w:r w:rsidRPr="00F56993">
        <w:rPr>
          <w:rFonts w:asciiTheme="majorHAnsi" w:hAnsiTheme="majorHAnsi"/>
        </w:rPr>
        <w:t xml:space="preserve"> : </w:t>
      </w:r>
      <w:r w:rsidRPr="00F56993">
        <w:rPr>
          <w:rFonts w:asciiTheme="majorHAnsi" w:hAnsiTheme="majorHAnsi"/>
        </w:rPr>
        <w:tab/>
        <w:t>Évolution des subventions pour le transport ferroviaire de voyageurs conventionné (en valeur et en % des recettes totales)</w:t>
      </w:r>
    </w:p>
    <w:p w14:paraId="36A420DA" w14:textId="77777777" w:rsidR="00EB1D16" w:rsidRPr="00F56993" w:rsidRDefault="00EB1D16" w:rsidP="00F56993">
      <w:pPr>
        <w:jc w:val="center"/>
        <w:rPr>
          <w:rFonts w:asciiTheme="majorHAnsi" w:hAnsiTheme="majorHAnsi"/>
        </w:rPr>
      </w:pPr>
      <w:r w:rsidRPr="00F56993">
        <w:rPr>
          <w:rFonts w:asciiTheme="majorHAnsi" w:hAnsiTheme="majorHAnsi"/>
          <w:noProof/>
        </w:rPr>
        <w:drawing>
          <wp:inline distT="0" distB="0" distL="0" distR="0" wp14:anchorId="4981117B" wp14:editId="0C4000B5">
            <wp:extent cx="5197900" cy="243699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2606" cy="2439204"/>
                    </a:xfrm>
                    <a:prstGeom prst="rect">
                      <a:avLst/>
                    </a:prstGeom>
                    <a:noFill/>
                    <a:ln>
                      <a:noFill/>
                    </a:ln>
                  </pic:spPr>
                </pic:pic>
              </a:graphicData>
            </a:graphic>
          </wp:inline>
        </w:drawing>
      </w:r>
    </w:p>
    <w:p w14:paraId="518D282E" w14:textId="77777777" w:rsidR="00EB1D16" w:rsidRPr="00F56993" w:rsidRDefault="00EB1D16" w:rsidP="00EB1D16">
      <w:pPr>
        <w:pStyle w:val="paragraph"/>
        <w:spacing w:before="240" w:beforeAutospacing="0" w:after="360" w:afterAutospacing="0"/>
        <w:jc w:val="center"/>
        <w:textAlignment w:val="baseline"/>
        <w:rPr>
          <w:rFonts w:asciiTheme="majorHAnsi" w:hAnsiTheme="majorHAnsi"/>
          <w:i/>
          <w:iCs/>
          <w:color w:val="878787"/>
        </w:rPr>
      </w:pPr>
      <w:r w:rsidRPr="00F56993">
        <w:rPr>
          <w:rStyle w:val="normaltextrun"/>
          <w:rFonts w:asciiTheme="majorHAnsi" w:eastAsiaTheme="majorEastAsia" w:hAnsiTheme="majorHAnsi"/>
          <w:i/>
          <w:iCs/>
          <w:color w:val="878787"/>
          <w:sz w:val="16"/>
          <w:szCs w:val="16"/>
        </w:rPr>
        <w:t>Source</w:t>
      </w:r>
      <w:r w:rsidRPr="00320B87">
        <w:rPr>
          <w:rStyle w:val="normaltextrun"/>
          <w:rFonts w:eastAsiaTheme="majorEastAsia"/>
          <w:i/>
          <w:iCs/>
          <w:color w:val="878787"/>
          <w:sz w:val="16"/>
          <w:szCs w:val="16"/>
        </w:rPr>
        <w:t> </w:t>
      </w:r>
      <w:r w:rsidRPr="00F56993">
        <w:rPr>
          <w:rStyle w:val="normaltextrun"/>
          <w:rFonts w:asciiTheme="majorHAnsi" w:eastAsiaTheme="majorEastAsia" w:hAnsiTheme="majorHAnsi"/>
          <w:i/>
          <w:iCs/>
          <w:color w:val="878787"/>
          <w:sz w:val="16"/>
          <w:szCs w:val="16"/>
        </w:rPr>
        <w:t>: IRG Rail, donn</w:t>
      </w:r>
      <w:r w:rsidRPr="00F56993">
        <w:rPr>
          <w:rStyle w:val="normaltextrun"/>
          <w:rFonts w:ascii="Roboto" w:eastAsiaTheme="majorEastAsia" w:hAnsi="Roboto" w:cs="Roboto"/>
          <w:i/>
          <w:iCs/>
          <w:color w:val="878787"/>
          <w:sz w:val="16"/>
          <w:szCs w:val="16"/>
        </w:rPr>
        <w:t>é</w:t>
      </w:r>
      <w:r w:rsidRPr="00F56993">
        <w:rPr>
          <w:rStyle w:val="normaltextrun"/>
          <w:rFonts w:asciiTheme="majorHAnsi" w:eastAsiaTheme="majorEastAsia" w:hAnsiTheme="majorHAnsi"/>
          <w:i/>
          <w:iCs/>
          <w:color w:val="878787"/>
          <w:sz w:val="16"/>
          <w:szCs w:val="16"/>
        </w:rPr>
        <w:t>es 2021</w:t>
      </w:r>
      <w:r w:rsidRPr="00F56993">
        <w:rPr>
          <w:rStyle w:val="eop"/>
          <w:rFonts w:asciiTheme="majorHAnsi" w:hAnsiTheme="majorHAnsi"/>
          <w:i/>
          <w:iCs/>
          <w:color w:val="878787"/>
          <w:sz w:val="16"/>
          <w:szCs w:val="16"/>
        </w:rPr>
        <w:t> </w:t>
      </w:r>
    </w:p>
    <w:p w14:paraId="2F4B5683" w14:textId="77777777" w:rsidR="00EB1D16" w:rsidRPr="00F56993" w:rsidRDefault="00EB1D16" w:rsidP="00EB1D16">
      <w:pPr>
        <w:pStyle w:val="Paragraphenumrot"/>
        <w:numPr>
          <w:ilvl w:val="0"/>
          <w:numId w:val="0"/>
        </w:numPr>
        <w:rPr>
          <w:rStyle w:val="cf01"/>
          <w:rFonts w:asciiTheme="majorHAnsi" w:hAnsiTheme="majorHAnsi"/>
          <w:sz w:val="21"/>
          <w:szCs w:val="21"/>
        </w:rPr>
      </w:pPr>
      <w:r w:rsidRPr="00F56993">
        <w:rPr>
          <w:rStyle w:val="cf01"/>
          <w:rFonts w:asciiTheme="majorHAnsi" w:hAnsiTheme="majorHAnsi"/>
          <w:sz w:val="21"/>
          <w:szCs w:val="21"/>
        </w:rPr>
        <w:t xml:space="preserve">L’étude précitée de l’Autorité a montré que cette décroissance des coûts a eu pour corollaire un développement de l’offre. </w:t>
      </w:r>
      <w:r w:rsidRPr="00F56993">
        <w:rPr>
          <w:rFonts w:asciiTheme="majorHAnsi" w:hAnsiTheme="majorHAnsi"/>
        </w:rPr>
        <w:t>Ainsi, en Allemagne, trente ans après l’ouverture à la concurrence des services conventionnés de transport ferroviaire de voyageurs, la part de marché des opérateurs alternatifs s’élevait, en 2019, à 34 % en nombre de trains-km, tandis que la taille du marché s’accroissait de 8 % entre 2010 et 2019 en nombre de trains-km</w:t>
      </w:r>
      <w:r w:rsidRPr="00F56993">
        <w:rPr>
          <w:rStyle w:val="Appelnotedebasdep"/>
          <w:rFonts w:asciiTheme="majorHAnsi" w:hAnsiTheme="majorHAnsi"/>
        </w:rPr>
        <w:footnoteReference w:id="5"/>
      </w:r>
      <w:r w:rsidRPr="00F56993">
        <w:rPr>
          <w:rFonts w:asciiTheme="majorHAnsi" w:hAnsiTheme="majorHAnsi"/>
        </w:rPr>
        <w:t xml:space="preserve"> et de 21 % en nombre de passagers.km. </w:t>
      </w:r>
      <w:r w:rsidRPr="00F56993">
        <w:rPr>
          <w:rStyle w:val="cf01"/>
          <w:rFonts w:asciiTheme="majorHAnsi" w:hAnsiTheme="majorHAnsi"/>
          <w:sz w:val="21"/>
          <w:szCs w:val="21"/>
        </w:rPr>
        <w:t>Une étude conduite sur 30 pays de l’OCDE</w:t>
      </w:r>
      <w:r w:rsidRPr="00F56993">
        <w:rPr>
          <w:rStyle w:val="Appelnotedebasdep"/>
          <w:rFonts w:asciiTheme="majorHAnsi" w:hAnsiTheme="majorHAnsi"/>
        </w:rPr>
        <w:footnoteReference w:id="6"/>
      </w:r>
      <w:r w:rsidRPr="00F56993">
        <w:rPr>
          <w:rStyle w:val="cf01"/>
          <w:rFonts w:asciiTheme="majorHAnsi" w:hAnsiTheme="majorHAnsi"/>
          <w:sz w:val="21"/>
          <w:szCs w:val="21"/>
        </w:rPr>
        <w:t xml:space="preserve"> pour la période 1990 à 2013 a également montré les effets positifs de la concurrence sur la demande de transport ferroviaire. Selon les données de la Commission européenne</w:t>
      </w:r>
      <w:r w:rsidRPr="00F56993">
        <w:rPr>
          <w:rStyle w:val="Appelnotedebasdep"/>
          <w:rFonts w:asciiTheme="majorHAnsi" w:hAnsiTheme="majorHAnsi"/>
        </w:rPr>
        <w:footnoteReference w:id="7"/>
      </w:r>
      <w:r w:rsidRPr="00F56993">
        <w:rPr>
          <w:rStyle w:val="cf01"/>
          <w:rFonts w:asciiTheme="majorHAnsi" w:hAnsiTheme="majorHAnsi"/>
          <w:sz w:val="21"/>
          <w:szCs w:val="21"/>
        </w:rPr>
        <w:t>, entre 2010 et 2019, la fréquentation (en nombre de passagers-kilomètres) a progressé de 29 % au Royaume-Uni, de 31 % en Suède et de 21 % en Allemagne. À titre de comparaison, la France a vu le nombre de ses passagers-kilomètres progresser de seulement 9 % sur la même période.</w:t>
      </w:r>
    </w:p>
    <w:p w14:paraId="7842A558" w14:textId="77777777" w:rsidR="00EB1D16" w:rsidRPr="00F56993" w:rsidRDefault="00EB1D16" w:rsidP="00EB1D16">
      <w:pPr>
        <w:rPr>
          <w:rFonts w:asciiTheme="majorHAnsi" w:eastAsia="Times New Roman" w:hAnsiTheme="majorHAnsi" w:cs="Segoe UI"/>
          <w:szCs w:val="21"/>
        </w:rPr>
      </w:pPr>
      <w:r w:rsidRPr="00F56993">
        <w:rPr>
          <w:rFonts w:asciiTheme="majorHAnsi" w:eastAsia="Times New Roman" w:hAnsiTheme="majorHAnsi" w:cs="Segoe UI"/>
          <w:b/>
          <w:bCs/>
          <w:szCs w:val="21"/>
        </w:rPr>
        <w:t>Par ailleurs, l’aiguillon concurrentiel a d’ores et déjà produit des effets en France, comme le relèvent les publications de l’observatoire des marchés de l’Autorité</w:t>
      </w:r>
      <w:r w:rsidRPr="00F56993">
        <w:rPr>
          <w:rFonts w:asciiTheme="majorHAnsi" w:eastAsia="Times New Roman" w:hAnsiTheme="majorHAnsi" w:cs="Segoe UI"/>
          <w:szCs w:val="21"/>
        </w:rPr>
        <w:t xml:space="preserve"> : </w:t>
      </w:r>
    </w:p>
    <w:p w14:paraId="2FCE254B" w14:textId="77777777" w:rsidR="00EB1D16" w:rsidRPr="00F56993" w:rsidRDefault="00EB1D16" w:rsidP="004B1920">
      <w:pPr>
        <w:pStyle w:val="Listeavectirets"/>
      </w:pPr>
      <w:proofErr w:type="gramStart"/>
      <w:r w:rsidRPr="00F56993">
        <w:t>en</w:t>
      </w:r>
      <w:proofErr w:type="gramEnd"/>
      <w:r w:rsidRPr="00F56993">
        <w:t xml:space="preserve"> région Sud PACA : </w:t>
      </w:r>
    </w:p>
    <w:p w14:paraId="12797FB2" w14:textId="77777777" w:rsidR="00EB1D16" w:rsidRPr="00F56993" w:rsidRDefault="00EB1D16" w:rsidP="00EB1D16">
      <w:pPr>
        <w:numPr>
          <w:ilvl w:val="1"/>
          <w:numId w:val="14"/>
        </w:numPr>
        <w:spacing w:before="120" w:after="120"/>
        <w:rPr>
          <w:rFonts w:asciiTheme="majorHAnsi" w:eastAsia="Times New Roman" w:hAnsiTheme="majorHAnsi" w:cs="Segoe UI"/>
          <w:szCs w:val="21"/>
        </w:rPr>
      </w:pPr>
      <w:proofErr w:type="gramStart"/>
      <w:r w:rsidRPr="00F56993">
        <w:rPr>
          <w:rFonts w:asciiTheme="majorHAnsi" w:eastAsia="Times New Roman" w:hAnsiTheme="majorHAnsi" w:cs="Segoe UI"/>
          <w:szCs w:val="21"/>
        </w:rPr>
        <w:t>d’une</w:t>
      </w:r>
      <w:proofErr w:type="gramEnd"/>
      <w:r w:rsidRPr="00F56993">
        <w:rPr>
          <w:rFonts w:asciiTheme="majorHAnsi" w:eastAsia="Times New Roman" w:hAnsiTheme="majorHAnsi" w:cs="Segoe UI"/>
          <w:szCs w:val="21"/>
        </w:rPr>
        <w:t xml:space="preserve"> part, sur le lot « Azur » attribué à SNCF Voyageurs, à compter de fin 2024, l’offre évoluera de 69 à 120 allers-retours quotidiens sur l’ensemble des services, avec une fréquence de 15 minutes aux heures de pointe (dans le cadre de la mise en place d’un service express métropolitain), moyennant une hausse du nombre de trains de +75 %, liée à une optimisation de l’usage des matériels roulants, sans hausse de coût pour l’AOT ; </w:t>
      </w:r>
    </w:p>
    <w:p w14:paraId="5A249426" w14:textId="77777777" w:rsidR="00EB1D16" w:rsidRPr="00F56993" w:rsidRDefault="00EB1D16" w:rsidP="00EB1D16">
      <w:pPr>
        <w:numPr>
          <w:ilvl w:val="1"/>
          <w:numId w:val="14"/>
        </w:numPr>
        <w:spacing w:before="120" w:after="120"/>
        <w:rPr>
          <w:rFonts w:asciiTheme="majorHAnsi" w:eastAsia="Times New Roman" w:hAnsiTheme="majorHAnsi" w:cs="Segoe UI"/>
          <w:szCs w:val="21"/>
        </w:rPr>
      </w:pPr>
      <w:proofErr w:type="gramStart"/>
      <w:r w:rsidRPr="00F56993">
        <w:rPr>
          <w:rFonts w:asciiTheme="majorHAnsi" w:eastAsia="Times New Roman" w:hAnsiTheme="majorHAnsi" w:cs="Segoe UI"/>
          <w:szCs w:val="21"/>
        </w:rPr>
        <w:t>d’autre</w:t>
      </w:r>
      <w:proofErr w:type="gramEnd"/>
      <w:r w:rsidRPr="00F56993">
        <w:rPr>
          <w:rFonts w:asciiTheme="majorHAnsi" w:eastAsia="Times New Roman" w:hAnsiTheme="majorHAnsi" w:cs="Segoe UI"/>
          <w:szCs w:val="21"/>
        </w:rPr>
        <w:t xml:space="preserve"> part, sur le lot « </w:t>
      </w:r>
      <w:proofErr w:type="spellStart"/>
      <w:r w:rsidRPr="00F56993">
        <w:rPr>
          <w:rFonts w:asciiTheme="majorHAnsi" w:eastAsia="Times New Roman" w:hAnsiTheme="majorHAnsi" w:cs="Segoe UI"/>
          <w:szCs w:val="21"/>
        </w:rPr>
        <w:t>Intermétropoles</w:t>
      </w:r>
      <w:proofErr w:type="spellEnd"/>
      <w:r w:rsidRPr="00F56993">
        <w:rPr>
          <w:rFonts w:asciiTheme="majorHAnsi" w:eastAsia="Times New Roman" w:hAnsiTheme="majorHAnsi" w:cs="Segoe UI"/>
          <w:szCs w:val="21"/>
        </w:rPr>
        <w:t xml:space="preserve"> » attribué à Transdev, l’offre ferroviaire sera doublée dès 2025, de 7 à 14 allers-retours quotidiens, à coût identique pour l’AOT ;</w:t>
      </w:r>
    </w:p>
    <w:p w14:paraId="48545065" w14:textId="77777777" w:rsidR="00EB1D16" w:rsidRPr="00F56993" w:rsidRDefault="00EB1D16" w:rsidP="004B1920">
      <w:pPr>
        <w:pStyle w:val="Listeavectirets"/>
      </w:pPr>
      <w:proofErr w:type="gramStart"/>
      <w:r w:rsidRPr="00F56993">
        <w:t>en</w:t>
      </w:r>
      <w:proofErr w:type="gramEnd"/>
      <w:r w:rsidRPr="00F56993">
        <w:t xml:space="preserve"> région Hauts-de-France, pour le lot « Etoile d’Amiens », attribué à SNCF Voyageurs, il est prévu une hausse de l’offre de transport de +9,5 % pour un coût par train.km en baisse de 21 %, avec des conditions contractuelles plus incitatives (en particulier, des pénalités multipliées par quatre en cas de mauvaise exécution des services et la possibilité de résilier le contrat en cas de défaillance, sans indemnités) ;</w:t>
      </w:r>
    </w:p>
    <w:p w14:paraId="659CFD51" w14:textId="77777777" w:rsidR="00EB1D16" w:rsidRPr="00F56993" w:rsidRDefault="00EB1D16" w:rsidP="004B1920">
      <w:pPr>
        <w:pStyle w:val="Listeavectirets"/>
      </w:pPr>
      <w:proofErr w:type="gramStart"/>
      <w:r w:rsidRPr="00F56993">
        <w:lastRenderedPageBreak/>
        <w:t>en</w:t>
      </w:r>
      <w:proofErr w:type="gramEnd"/>
      <w:r w:rsidRPr="00F56993">
        <w:t xml:space="preserve"> région Pays de la Loire, pour les ensembles « tram-train » et « Sud-Loire » attribués à SNCF Voyageurs, il est prévu une forte hausse de l’offre de transport (+26 % à compter de fin 2026) associée à une baisse significative (</w:t>
      </w:r>
      <w:r w:rsidRPr="00F56993">
        <w:noBreakHyphen/>
        <w:t>25 %) du coût du service. L’ouverture à la concurrence a ainsi permis à l’AOT d’obtenir de la part de SNCF Voyageurs, entre autres, plus de trains supplémentaires et une économie de 100 millions d’euros sur dix ans.</w:t>
      </w:r>
    </w:p>
    <w:p w14:paraId="52AF0955" w14:textId="77777777" w:rsidR="00EB1D16" w:rsidRPr="00F56993" w:rsidRDefault="00EB1D16" w:rsidP="00F56993">
      <w:pPr>
        <w:pStyle w:val="Titre2"/>
        <w:spacing w:before="240" w:after="0"/>
        <w:ind w:left="850" w:hanging="425"/>
        <w:rPr>
          <w:rFonts w:asciiTheme="majorHAnsi" w:hAnsiTheme="majorHAnsi"/>
        </w:rPr>
      </w:pPr>
      <w:bookmarkStart w:id="13" w:name="_Toc156837931"/>
      <w:bookmarkStart w:id="14" w:name="_Toc156841767"/>
      <w:bookmarkStart w:id="15" w:name="_Toc158108821"/>
      <w:bookmarkStart w:id="16" w:name="_Toc160043520"/>
      <w:r w:rsidRPr="00F56993">
        <w:rPr>
          <w:rFonts w:asciiTheme="majorHAnsi" w:hAnsiTheme="majorHAnsi"/>
        </w:rPr>
        <w:t>Néanmoins, le processus d’ouverture à la concurrence des services conventionnés est faiblement engagé et exposé à un risque de blocage</w:t>
      </w:r>
      <w:bookmarkEnd w:id="13"/>
      <w:bookmarkEnd w:id="14"/>
      <w:bookmarkEnd w:id="15"/>
      <w:bookmarkEnd w:id="16"/>
    </w:p>
    <w:p w14:paraId="2005D3DA" w14:textId="77777777" w:rsidR="00EB1D16" w:rsidRPr="00F56993" w:rsidRDefault="00EB1D16" w:rsidP="00EB1D16">
      <w:pPr>
        <w:pStyle w:val="Paragraphenumrot"/>
        <w:numPr>
          <w:ilvl w:val="0"/>
          <w:numId w:val="0"/>
        </w:numPr>
        <w:ind w:left="-142"/>
        <w:rPr>
          <w:rFonts w:asciiTheme="majorHAnsi" w:hAnsiTheme="majorHAnsi"/>
        </w:rPr>
      </w:pPr>
      <w:r w:rsidRPr="00F56993">
        <w:rPr>
          <w:rFonts w:asciiTheme="majorHAnsi" w:hAnsiTheme="majorHAnsi"/>
        </w:rPr>
        <w:t>Malgré ces bénéfices largement constatés dans d'autres pays européens, en France seules quatre AOT</w:t>
      </w:r>
      <w:r w:rsidRPr="00F56993">
        <w:rPr>
          <w:rStyle w:val="Appelnotedebasdep"/>
          <w:rFonts w:asciiTheme="majorHAnsi" w:hAnsiTheme="majorHAnsi"/>
          <w:b/>
          <w:bCs/>
        </w:rPr>
        <w:footnoteReference w:id="8"/>
      </w:r>
      <w:r w:rsidRPr="00F56993">
        <w:rPr>
          <w:rFonts w:asciiTheme="majorHAnsi" w:hAnsiTheme="majorHAnsi"/>
        </w:rPr>
        <w:t xml:space="preserve"> ont, à date, été en mesure de tirer profit de la faculté offerte au cours de la période transitoire courant du 3 décembre 2019 au 24 décembre 2023 pour initier une ouverture à la concurrence partielle de leurs services conventionnés et attribuer de premiers lots après mise en concurrence. </w:t>
      </w:r>
    </w:p>
    <w:p w14:paraId="1A9D2119" w14:textId="77777777" w:rsidR="00EB1D16" w:rsidRPr="00F56993" w:rsidRDefault="00EB1D16" w:rsidP="00EB1D16">
      <w:pPr>
        <w:pStyle w:val="Paragraphenumrot"/>
        <w:numPr>
          <w:ilvl w:val="0"/>
          <w:numId w:val="0"/>
        </w:numPr>
        <w:ind w:left="-142"/>
        <w:rPr>
          <w:rFonts w:asciiTheme="majorHAnsi" w:hAnsiTheme="majorHAnsi"/>
        </w:rPr>
      </w:pPr>
      <w:r w:rsidRPr="00F56993">
        <w:rPr>
          <w:rFonts w:asciiTheme="majorHAnsi" w:hAnsiTheme="majorHAnsi"/>
        </w:rPr>
        <w:t>Pour les premiers lots attribués, l’aiguillon concurrentiel a d’ores et déjà montré sa pertinence. En région Hauts-de-France, l’attribution, à la suite d’un appel d’offres, du lot « Étoile d’Amiens » conduira à une baisse de plus de 20 % du coût des services conventionnés au train</w:t>
      </w:r>
      <w:r w:rsidRPr="00F56993">
        <w:rPr>
          <w:rFonts w:asciiTheme="majorHAnsi" w:hAnsiTheme="majorHAnsi"/>
        </w:rPr>
        <w:noBreakHyphen/>
        <w:t>km (de 28 € à 22 €). En région Sud, un doublement de l’offre est prévu dans le cadre de l’attribution concurrentielle du lot « </w:t>
      </w:r>
      <w:proofErr w:type="spellStart"/>
      <w:r w:rsidRPr="00F56993">
        <w:rPr>
          <w:rFonts w:asciiTheme="majorHAnsi" w:hAnsiTheme="majorHAnsi"/>
        </w:rPr>
        <w:t>Intermétropoles</w:t>
      </w:r>
      <w:proofErr w:type="spellEnd"/>
      <w:r w:rsidRPr="00F56993">
        <w:rPr>
          <w:rFonts w:asciiTheme="majorHAnsi" w:hAnsiTheme="majorHAnsi"/>
        </w:rPr>
        <w:t xml:space="preserve"> » (Marseille-Toulon-Nice) à l’opérateur Transdev, tandis que l’attribution du lot « Azur » à SNCF Voyageurs prévoit 75% de trains supplémentaires, 120 allers-retours quotidiens contre 69 actuellement sur toutes les lignes et une augmentation de la fréquence avec des trains toutes les 15 minutes. En région Pays-de-la-Loire, l’attribution concurrentielle a permis à l’AOT d’obtenir de la part de SNCF Voyageurs, entre autres, 26 % de trains supplémentaires et une économie de 100 millions d’euros sur 10 ans. </w:t>
      </w:r>
    </w:p>
    <w:p w14:paraId="190B79D3" w14:textId="77777777" w:rsidR="00EB1D16" w:rsidRPr="00F56993" w:rsidRDefault="00EB1D16" w:rsidP="00EB1D16">
      <w:pPr>
        <w:pStyle w:val="Paragraphenumrot"/>
        <w:numPr>
          <w:ilvl w:val="0"/>
          <w:numId w:val="0"/>
        </w:numPr>
        <w:ind w:left="-142"/>
        <w:rPr>
          <w:rFonts w:asciiTheme="majorHAnsi" w:hAnsiTheme="majorHAnsi"/>
        </w:rPr>
      </w:pPr>
      <w:r w:rsidRPr="00F56993">
        <w:rPr>
          <w:rFonts w:asciiTheme="majorHAnsi" w:hAnsiTheme="majorHAnsi"/>
        </w:rPr>
        <w:t>Neuf AOT ont prolongé leurs contrats de services conventionnés ou en ont attribué de nouveaux directement à SNCF Voyageurs après résiliation anticipée du contrat précédent. Neuf</w:t>
      </w:r>
      <w:r w:rsidRPr="00F56993" w:rsidDel="00370364">
        <w:rPr>
          <w:rFonts w:asciiTheme="majorHAnsi" w:hAnsiTheme="majorHAnsi"/>
        </w:rPr>
        <w:t xml:space="preserve"> </w:t>
      </w:r>
      <w:r w:rsidRPr="00F56993">
        <w:rPr>
          <w:rFonts w:asciiTheme="majorHAnsi" w:hAnsiTheme="majorHAnsi"/>
        </w:rPr>
        <w:t>contrats attribués prévoient l’ouverture progressive des services conventionnés au travers de lots successivement détachables du reste de la convention.</w:t>
      </w:r>
    </w:p>
    <w:p w14:paraId="04FE3ABD" w14:textId="785B4B67" w:rsidR="00B33D1B" w:rsidRPr="00C736DA" w:rsidRDefault="00B33D1B" w:rsidP="00B33D1B">
      <w:pPr>
        <w:pStyle w:val="Paragraphenumrot"/>
        <w:numPr>
          <w:ilvl w:val="0"/>
          <w:numId w:val="0"/>
        </w:numPr>
        <w:ind w:left="-142"/>
      </w:pPr>
      <w:r>
        <w:t>À</w:t>
      </w:r>
      <w:r w:rsidRPr="00D80E81">
        <w:t xml:space="preserve"> date, le processus d’ouverture à la concurrence est faiblement engagé comme l'illustre la carte ci-après, qui détaille l’état actuel du processus d’ouverture à la concurrence et son calendrier prévisionnel</w:t>
      </w:r>
      <w:r w:rsidRPr="00F73573">
        <w:t>. Par ailleurs,</w:t>
      </w:r>
      <w:r>
        <w:t xml:space="preserve"> trois</w:t>
      </w:r>
      <w:r w:rsidRPr="00F73573" w:rsidDel="002A70B8">
        <w:t xml:space="preserve"> </w:t>
      </w:r>
      <w:r w:rsidRPr="00F73573">
        <w:t>AOT n’ont pas engagé les démarches préalables à la mise en œuvre de procédures de mise en concurrence (</w:t>
      </w:r>
      <w:r>
        <w:t xml:space="preserve">tels que le </w:t>
      </w:r>
      <w:r w:rsidRPr="00F73573">
        <w:t>processus d’allotissement</w:t>
      </w:r>
      <w:r>
        <w:t xml:space="preserve"> et</w:t>
      </w:r>
      <w:r w:rsidRPr="00F73573">
        <w:t xml:space="preserve"> </w:t>
      </w:r>
      <w:r>
        <w:t>l’</w:t>
      </w:r>
      <w:r w:rsidRPr="00F73573">
        <w:t>élaboration d’un calendrier prévisionne</w:t>
      </w:r>
      <w:r>
        <w:t>l</w:t>
      </w:r>
      <w:r w:rsidRPr="00F73573">
        <w:t>)</w:t>
      </w:r>
      <w:r>
        <w:t>.</w:t>
      </w:r>
    </w:p>
    <w:p w14:paraId="15C317B4" w14:textId="77777777" w:rsidR="0025023A" w:rsidRPr="00F56993" w:rsidRDefault="0025023A" w:rsidP="00EB1D16">
      <w:pPr>
        <w:pStyle w:val="Paragraphenumrot"/>
        <w:numPr>
          <w:ilvl w:val="0"/>
          <w:numId w:val="0"/>
        </w:numPr>
        <w:ind w:left="-142"/>
        <w:rPr>
          <w:rFonts w:asciiTheme="majorHAnsi" w:hAnsiTheme="majorHAnsi"/>
        </w:rPr>
      </w:pPr>
    </w:p>
    <w:p w14:paraId="5A002D12" w14:textId="77777777" w:rsidR="00EB1D16" w:rsidRPr="00F56993" w:rsidRDefault="00EB1D16" w:rsidP="00F56993">
      <w:pPr>
        <w:pStyle w:val="Paragraphenumrot"/>
        <w:numPr>
          <w:ilvl w:val="0"/>
          <w:numId w:val="0"/>
        </w:numPr>
        <w:ind w:left="-142"/>
        <w:rPr>
          <w:rFonts w:asciiTheme="majorHAnsi" w:hAnsiTheme="majorHAnsi"/>
        </w:rPr>
      </w:pPr>
      <w:r w:rsidRPr="00F56993">
        <w:rPr>
          <w:rFonts w:asciiTheme="majorHAnsi" w:hAnsiTheme="majorHAnsi"/>
        </w:rPr>
        <w:t>L’engorgement des procédures d'appel d'offre semble inéluctable à l’horizon 2032-2033.</w:t>
      </w:r>
    </w:p>
    <w:p w14:paraId="53CDEE72" w14:textId="77777777" w:rsidR="00EB1D16" w:rsidRPr="00F56993" w:rsidRDefault="00EB1D16" w:rsidP="00F56993">
      <w:pPr>
        <w:spacing w:before="0" w:after="0"/>
        <w:jc w:val="center"/>
        <w:rPr>
          <w:rFonts w:asciiTheme="majorHAnsi" w:hAnsiTheme="majorHAnsi"/>
        </w:rPr>
      </w:pPr>
      <w:r w:rsidRPr="00F56993">
        <w:rPr>
          <w:rFonts w:asciiTheme="majorHAnsi" w:hAnsiTheme="majorHAnsi"/>
          <w:noProof/>
        </w:rPr>
        <w:drawing>
          <wp:inline distT="0" distB="0" distL="0" distR="0" wp14:anchorId="43523B9B" wp14:editId="1AFC5CF4">
            <wp:extent cx="4342178" cy="1865011"/>
            <wp:effectExtent l="0" t="0" r="127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8153" cy="1880463"/>
                    </a:xfrm>
                    <a:prstGeom prst="rect">
                      <a:avLst/>
                    </a:prstGeom>
                    <a:noFill/>
                  </pic:spPr>
                </pic:pic>
              </a:graphicData>
            </a:graphic>
          </wp:inline>
        </w:drawing>
      </w:r>
    </w:p>
    <w:p w14:paraId="1E415C44" w14:textId="2C6367EF" w:rsidR="00EB1D16" w:rsidRPr="00F56993" w:rsidRDefault="00EB1D16" w:rsidP="00EB1D16">
      <w:pPr>
        <w:pStyle w:val="Lgende"/>
        <w:keepNext/>
        <w:rPr>
          <w:rFonts w:asciiTheme="majorHAnsi" w:hAnsiTheme="majorHAnsi"/>
        </w:rPr>
      </w:pPr>
      <w:r w:rsidRPr="00F56993">
        <w:rPr>
          <w:rFonts w:asciiTheme="majorHAnsi" w:hAnsiTheme="majorHAnsi"/>
        </w:rPr>
        <w:t>Source : ART</w:t>
      </w:r>
      <w:r w:rsidR="00BA7545" w:rsidRPr="00F56993">
        <w:rPr>
          <w:rFonts w:asciiTheme="majorHAnsi" w:hAnsiTheme="majorHAnsi"/>
        </w:rPr>
        <w:t xml:space="preserve"> d'après Régions de France, novembre 2023</w:t>
      </w:r>
    </w:p>
    <w:p w14:paraId="3DA9BA7B" w14:textId="5F9C2DF2" w:rsidR="00B33D1B" w:rsidRPr="00453E2F" w:rsidRDefault="00B33D1B" w:rsidP="00B33D1B">
      <w:r>
        <w:t xml:space="preserve">S’il était avéré, un tel engorgement des procédures aurait nécessairement pour effet un blocage du processus d’ouverture à la concurrence. En effet, compte tenu des moyens financiers et </w:t>
      </w:r>
      <w:r>
        <w:lastRenderedPageBreak/>
        <w:t>humains</w:t>
      </w:r>
      <w:r w:rsidRPr="00AD0ECE">
        <w:t xml:space="preserve"> </w:t>
      </w:r>
      <w:r>
        <w:t xml:space="preserve">des entreprises ferroviaires, nécessairement </w:t>
      </w:r>
      <w:proofErr w:type="gramStart"/>
      <w:r>
        <w:t>limités ,</w:t>
      </w:r>
      <w:proofErr w:type="gramEnd"/>
      <w:r>
        <w:t xml:space="preserve"> la démultiplication des procédures entraînerait une réduction de la qualité et du nombre des offres.</w:t>
      </w:r>
    </w:p>
    <w:p w14:paraId="7AA6719E" w14:textId="77777777" w:rsidR="0025023A" w:rsidRPr="00780DF4" w:rsidRDefault="0025023A" w:rsidP="00F56993">
      <w:pPr>
        <w:pStyle w:val="Paragraphenumrot"/>
        <w:numPr>
          <w:ilvl w:val="0"/>
          <w:numId w:val="0"/>
        </w:numPr>
        <w:jc w:val="center"/>
        <w:rPr>
          <w:rFonts w:asciiTheme="majorHAnsi" w:hAnsiTheme="majorHAnsi"/>
        </w:rPr>
      </w:pPr>
      <w:r w:rsidRPr="00780DF4">
        <w:rPr>
          <w:rFonts w:asciiTheme="majorHAnsi" w:hAnsiTheme="majorHAnsi"/>
          <w:noProof/>
        </w:rPr>
        <w:drawing>
          <wp:inline distT="0" distB="0" distL="0" distR="0" wp14:anchorId="656BC143" wp14:editId="71E205BF">
            <wp:extent cx="4982902" cy="553106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074504" cy="5632739"/>
                    </a:xfrm>
                    <a:prstGeom prst="rect">
                      <a:avLst/>
                    </a:prstGeom>
                    <a:noFill/>
                    <a:ln>
                      <a:noFill/>
                    </a:ln>
                  </pic:spPr>
                </pic:pic>
              </a:graphicData>
            </a:graphic>
          </wp:inline>
        </w:drawing>
      </w:r>
    </w:p>
    <w:p w14:paraId="5E61B50E" w14:textId="77777777" w:rsidR="0025023A" w:rsidRDefault="0025023A" w:rsidP="0025023A">
      <w:pPr>
        <w:pStyle w:val="Lgende"/>
        <w:rPr>
          <w:rFonts w:asciiTheme="majorHAnsi" w:hAnsiTheme="majorHAnsi"/>
        </w:rPr>
      </w:pPr>
      <w:r w:rsidRPr="00780DF4">
        <w:rPr>
          <w:rFonts w:asciiTheme="majorHAnsi" w:hAnsiTheme="majorHAnsi"/>
        </w:rPr>
        <w:t xml:space="preserve">Source : Régions de France, novembre 2023. </w:t>
      </w:r>
    </w:p>
    <w:p w14:paraId="7E6B6707" w14:textId="77777777" w:rsidR="00EB1D16" w:rsidRPr="00F56993" w:rsidRDefault="00EB1D16" w:rsidP="00EB1D16">
      <w:pPr>
        <w:pStyle w:val="Titre1"/>
        <w:ind w:left="426" w:hanging="426"/>
        <w:rPr>
          <w:rFonts w:asciiTheme="majorHAnsi" w:hAnsiTheme="majorHAnsi"/>
        </w:rPr>
      </w:pPr>
      <w:bookmarkStart w:id="17" w:name="_Toc160043521"/>
      <w:bookmarkStart w:id="18" w:name="_Toc160043522"/>
      <w:bookmarkStart w:id="19" w:name="_Toc156837932"/>
      <w:bookmarkStart w:id="20" w:name="_Toc156841768"/>
      <w:bookmarkStart w:id="21" w:name="_Toc158108822"/>
      <w:bookmarkStart w:id="22" w:name="_Toc160043523"/>
      <w:bookmarkEnd w:id="17"/>
      <w:bookmarkEnd w:id="18"/>
      <w:r w:rsidRPr="00F56993">
        <w:rPr>
          <w:rFonts w:asciiTheme="majorHAnsi" w:hAnsiTheme="majorHAnsi"/>
        </w:rPr>
        <w:t>dans ce contexte, l’Autorité a élaboré les présentes lignes directrices dans une démarche pragmatique et constructive visant à parvenir à une ouverture à la concurrence échelonnée des services</w:t>
      </w:r>
      <w:bookmarkEnd w:id="19"/>
      <w:bookmarkEnd w:id="20"/>
      <w:bookmarkEnd w:id="21"/>
      <w:bookmarkEnd w:id="22"/>
      <w:r w:rsidRPr="00F56993">
        <w:rPr>
          <w:rFonts w:asciiTheme="majorHAnsi" w:hAnsiTheme="majorHAnsi"/>
        </w:rPr>
        <w:t xml:space="preserve"> </w:t>
      </w:r>
    </w:p>
    <w:p w14:paraId="795C6589" w14:textId="77777777" w:rsidR="00EB1D16" w:rsidRPr="00F56993" w:rsidRDefault="00EB1D16" w:rsidP="00EB1D16">
      <w:pPr>
        <w:pStyle w:val="Paragraphenumrot"/>
        <w:numPr>
          <w:ilvl w:val="0"/>
          <w:numId w:val="0"/>
        </w:numPr>
        <w:rPr>
          <w:rFonts w:asciiTheme="majorHAnsi" w:hAnsiTheme="majorHAnsi"/>
        </w:rPr>
      </w:pPr>
      <w:r w:rsidRPr="00F56993">
        <w:rPr>
          <w:rFonts w:asciiTheme="majorHAnsi" w:hAnsiTheme="majorHAnsi"/>
        </w:rPr>
        <w:t xml:space="preserve">La réussite du processus d’ouverture à la concurrence pour le marché suppose un engagement immédiat de l’ensemble des AOT, sans attendre le terme des conventions en cours, afin de respecter l’obligation d’attribution concurrentielle et d'éviter un engorgement des procédures d'appel d'offres (aujourd’hui largement prévisible) à compter de 2030. </w:t>
      </w:r>
    </w:p>
    <w:p w14:paraId="68B02B7C" w14:textId="77777777" w:rsidR="00EB1D16" w:rsidRPr="00F56993" w:rsidRDefault="00EB1D16" w:rsidP="00EB1D16">
      <w:pPr>
        <w:pStyle w:val="Paragraphenumrot"/>
        <w:numPr>
          <w:ilvl w:val="0"/>
          <w:numId w:val="0"/>
        </w:numPr>
        <w:rPr>
          <w:rFonts w:asciiTheme="majorHAnsi" w:hAnsiTheme="majorHAnsi"/>
        </w:rPr>
      </w:pPr>
      <w:r w:rsidRPr="00F56993">
        <w:rPr>
          <w:rFonts w:asciiTheme="majorHAnsi" w:hAnsiTheme="majorHAnsi"/>
        </w:rPr>
        <w:t xml:space="preserve">C’est dans cette approche pragmatique et finaliste que l’Autorité a rédigé les présentes lignes directrices. </w:t>
      </w:r>
    </w:p>
    <w:p w14:paraId="51A2A2DB" w14:textId="674E8E9D" w:rsidR="00906B65" w:rsidRPr="00320B87" w:rsidRDefault="00906B65">
      <w:pPr>
        <w:spacing w:before="0" w:after="0" w:line="280" w:lineRule="atLeast"/>
        <w:jc w:val="left"/>
        <w:rPr>
          <w:rFonts w:asciiTheme="majorHAnsi" w:hAnsiTheme="majorHAnsi"/>
        </w:rPr>
      </w:pPr>
      <w:r w:rsidRPr="00320B87">
        <w:rPr>
          <w:rFonts w:asciiTheme="majorHAnsi" w:hAnsiTheme="majorHAnsi"/>
        </w:rPr>
        <w:br w:type="page"/>
      </w:r>
    </w:p>
    <w:p w14:paraId="6464ABAD" w14:textId="059B8811" w:rsidR="003351AB" w:rsidRPr="00F56993" w:rsidRDefault="00D73787" w:rsidP="003351AB">
      <w:pPr>
        <w:pStyle w:val="Conclusion"/>
        <w:rPr>
          <w:rFonts w:asciiTheme="majorHAnsi" w:hAnsiTheme="majorHAnsi"/>
          <w:sz w:val="32"/>
          <w:szCs w:val="28"/>
        </w:rPr>
      </w:pPr>
      <w:r w:rsidRPr="00F56993">
        <w:rPr>
          <w:rFonts w:asciiTheme="majorHAnsi" w:hAnsiTheme="majorHAnsi"/>
          <w:b/>
          <w:bCs/>
          <w:sz w:val="28"/>
          <w:szCs w:val="28"/>
          <w:u w:val="single"/>
        </w:rPr>
        <w:lastRenderedPageBreak/>
        <w:t>PARTIE B</w:t>
      </w:r>
      <w:r w:rsidRPr="00F56993">
        <w:rPr>
          <w:rFonts w:asciiTheme="majorHAnsi" w:hAnsiTheme="majorHAnsi"/>
          <w:b/>
          <w:bCs/>
          <w:sz w:val="28"/>
          <w:szCs w:val="28"/>
        </w:rPr>
        <w:t> : Projet de l</w:t>
      </w:r>
      <w:r w:rsidR="003351AB" w:rsidRPr="00F56993">
        <w:rPr>
          <w:rFonts w:asciiTheme="majorHAnsi" w:hAnsiTheme="majorHAnsi"/>
          <w:b/>
          <w:bCs/>
          <w:sz w:val="28"/>
          <w:szCs w:val="28"/>
        </w:rPr>
        <w:t xml:space="preserve">ignes directrices relatives aux dérogations à l’attribution concurrentielle de services conventionnés de voyageurs prévues par </w:t>
      </w:r>
      <w:r w:rsidR="003351AB" w:rsidRPr="00F56993" w:rsidDel="0009662B">
        <w:rPr>
          <w:rFonts w:asciiTheme="majorHAnsi" w:hAnsiTheme="majorHAnsi"/>
          <w:b/>
          <w:bCs/>
          <w:sz w:val="28"/>
          <w:szCs w:val="28"/>
        </w:rPr>
        <w:t>le règlement n° 1370/2007 du 23 octobre 2007</w:t>
      </w:r>
    </w:p>
    <w:p w14:paraId="051AF221" w14:textId="77777777" w:rsidR="003351AB" w:rsidRPr="00F56993" w:rsidRDefault="003351AB" w:rsidP="003351AB">
      <w:pPr>
        <w:pStyle w:val="Conclusion"/>
        <w:rPr>
          <w:rFonts w:asciiTheme="majorHAnsi" w:hAnsiTheme="majorHAnsi"/>
        </w:rPr>
      </w:pPr>
      <w:r w:rsidRPr="00F56993">
        <w:rPr>
          <w:rFonts w:asciiTheme="majorHAnsi" w:hAnsiTheme="majorHAnsi"/>
        </w:rPr>
        <w:t>Sommaire</w:t>
      </w:r>
    </w:p>
    <w:p w14:paraId="026AB80F" w14:textId="7FE5086E" w:rsidR="00D73787" w:rsidRPr="00D73787" w:rsidRDefault="003351AB" w:rsidP="00D73787">
      <w:pPr>
        <w:pStyle w:val="TM1"/>
        <w:rPr>
          <w:rFonts w:asciiTheme="minorHAnsi" w:eastAsiaTheme="minorEastAsia" w:hAnsiTheme="minorHAnsi" w:cstheme="minorBidi"/>
          <w:bCs w:val="0"/>
          <w:color w:val="auto"/>
          <w:kern w:val="2"/>
          <w:sz w:val="22"/>
          <w:szCs w:val="22"/>
          <w14:ligatures w14:val="standardContextual"/>
        </w:rPr>
      </w:pPr>
      <w:r w:rsidRPr="00F56993">
        <w:rPr>
          <w:color w:val="24356D" w:themeColor="text2"/>
        </w:rPr>
        <w:fldChar w:fldCharType="begin"/>
      </w:r>
      <w:r w:rsidRPr="00D73787">
        <w:rPr>
          <w:color w:val="24356D" w:themeColor="text2"/>
        </w:rPr>
        <w:instrText xml:space="preserve"> TOC \o "1-3" \h \z \u </w:instrText>
      </w:r>
      <w:r w:rsidRPr="00F56993">
        <w:rPr>
          <w:color w:val="24356D" w:themeColor="text2"/>
        </w:rPr>
        <w:fldChar w:fldCharType="separate"/>
      </w:r>
      <w:hyperlink w:anchor="_Toc160043524" w:history="1">
        <w:r w:rsidR="00D73787" w:rsidRPr="00D73787">
          <w:rPr>
            <w:rStyle w:val="Lienhypertexte"/>
            <w:bCs w:val="0"/>
          </w:rPr>
          <w:t>1.</w:t>
        </w:r>
        <w:r w:rsidR="00D73787" w:rsidRPr="00D73787">
          <w:rPr>
            <w:rStyle w:val="Lienhypertexte"/>
            <w:rFonts w:asciiTheme="majorHAnsi" w:hAnsiTheme="majorHAnsi"/>
            <w:bCs w:val="0"/>
          </w:rPr>
          <w:t xml:space="preserve"> Le règlement osp pose le principe de L’attribution concurrentielle de services conventionnés de voyageurs tout en prévoyant certaines dérogations à cette obligation</w:t>
        </w:r>
        <w:r w:rsidR="00D73787" w:rsidRPr="00D73787">
          <w:rPr>
            <w:bCs w:val="0"/>
            <w:webHidden/>
          </w:rPr>
          <w:tab/>
        </w:r>
        <w:r w:rsidR="00D73787" w:rsidRPr="00D73787">
          <w:rPr>
            <w:bCs w:val="0"/>
            <w:webHidden/>
          </w:rPr>
          <w:fldChar w:fldCharType="begin"/>
        </w:r>
        <w:r w:rsidR="00D73787" w:rsidRPr="00D73787">
          <w:rPr>
            <w:bCs w:val="0"/>
            <w:webHidden/>
          </w:rPr>
          <w:instrText xml:space="preserve"> PAGEREF _Toc160043524 \h </w:instrText>
        </w:r>
        <w:r w:rsidR="00D73787" w:rsidRPr="00D73787">
          <w:rPr>
            <w:bCs w:val="0"/>
            <w:webHidden/>
          </w:rPr>
        </w:r>
        <w:r w:rsidR="00D73787" w:rsidRPr="00D73787">
          <w:rPr>
            <w:bCs w:val="0"/>
            <w:webHidden/>
          </w:rPr>
          <w:fldChar w:fldCharType="separate"/>
        </w:r>
        <w:r w:rsidR="00D73787" w:rsidRPr="00D73787">
          <w:rPr>
            <w:bCs w:val="0"/>
            <w:webHidden/>
          </w:rPr>
          <w:t>9</w:t>
        </w:r>
        <w:r w:rsidR="00D73787" w:rsidRPr="00D73787">
          <w:rPr>
            <w:bCs w:val="0"/>
            <w:webHidden/>
          </w:rPr>
          <w:fldChar w:fldCharType="end"/>
        </w:r>
      </w:hyperlink>
    </w:p>
    <w:p w14:paraId="5323C6F4" w14:textId="270EE3E3"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25" w:history="1">
        <w:r w:rsidR="00D73787" w:rsidRPr="003C339F">
          <w:rPr>
            <w:rStyle w:val="Lienhypertexte"/>
            <w:noProof/>
          </w:rPr>
          <w:t>1.1.</w:t>
        </w:r>
        <w:r w:rsidR="00D73787" w:rsidRPr="003C339F">
          <w:rPr>
            <w:rStyle w:val="Lienhypertexte"/>
            <w:rFonts w:asciiTheme="majorHAnsi" w:hAnsiTheme="majorHAnsi"/>
            <w:noProof/>
          </w:rPr>
          <w:t xml:space="preserve"> Trois des six dérogations prévues à l’obligation d’attribution concurrentielle sont soumises au contrôle de l’Autorité</w:t>
        </w:r>
        <w:r w:rsidR="00D73787">
          <w:rPr>
            <w:noProof/>
            <w:webHidden/>
          </w:rPr>
          <w:tab/>
        </w:r>
        <w:r w:rsidR="00D73787">
          <w:rPr>
            <w:noProof/>
            <w:webHidden/>
          </w:rPr>
          <w:fldChar w:fldCharType="begin"/>
        </w:r>
        <w:r w:rsidR="00D73787">
          <w:rPr>
            <w:noProof/>
            <w:webHidden/>
          </w:rPr>
          <w:instrText xml:space="preserve"> PAGEREF _Toc160043525 \h </w:instrText>
        </w:r>
        <w:r w:rsidR="00D73787">
          <w:rPr>
            <w:noProof/>
            <w:webHidden/>
          </w:rPr>
        </w:r>
        <w:r w:rsidR="00D73787">
          <w:rPr>
            <w:noProof/>
            <w:webHidden/>
          </w:rPr>
          <w:fldChar w:fldCharType="separate"/>
        </w:r>
        <w:r w:rsidR="00D73787">
          <w:rPr>
            <w:noProof/>
            <w:webHidden/>
          </w:rPr>
          <w:t>9</w:t>
        </w:r>
        <w:r w:rsidR="00D73787">
          <w:rPr>
            <w:noProof/>
            <w:webHidden/>
          </w:rPr>
          <w:fldChar w:fldCharType="end"/>
        </w:r>
      </w:hyperlink>
    </w:p>
    <w:p w14:paraId="1E945EA1" w14:textId="1CA8392A"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26" w:history="1">
        <w:r w:rsidR="00D73787" w:rsidRPr="003C339F">
          <w:rPr>
            <w:rStyle w:val="Lienhypertexte"/>
            <w:noProof/>
          </w:rPr>
          <w:t>1.2.</w:t>
        </w:r>
        <w:r w:rsidR="00D73787" w:rsidRPr="003C339F">
          <w:rPr>
            <w:rStyle w:val="Lienhypertexte"/>
            <w:rFonts w:asciiTheme="majorHAnsi" w:hAnsiTheme="majorHAnsi"/>
            <w:noProof/>
          </w:rPr>
          <w:t xml:space="preserve"> Saisie de demandes de dérogations, l’Autorité a pour rôle de veiller au respect des conditions prévues par le règlement OSP et à l’atteinte de ses objectifs</w:t>
        </w:r>
        <w:r w:rsidR="00D73787">
          <w:rPr>
            <w:noProof/>
            <w:webHidden/>
          </w:rPr>
          <w:tab/>
        </w:r>
        <w:r w:rsidR="00D73787">
          <w:rPr>
            <w:noProof/>
            <w:webHidden/>
          </w:rPr>
          <w:fldChar w:fldCharType="begin"/>
        </w:r>
        <w:r w:rsidR="00D73787">
          <w:rPr>
            <w:noProof/>
            <w:webHidden/>
          </w:rPr>
          <w:instrText xml:space="preserve"> PAGEREF _Toc160043526 \h </w:instrText>
        </w:r>
        <w:r w:rsidR="00D73787">
          <w:rPr>
            <w:noProof/>
            <w:webHidden/>
          </w:rPr>
        </w:r>
        <w:r w:rsidR="00D73787">
          <w:rPr>
            <w:noProof/>
            <w:webHidden/>
          </w:rPr>
          <w:fldChar w:fldCharType="separate"/>
        </w:r>
        <w:r w:rsidR="00D73787">
          <w:rPr>
            <w:noProof/>
            <w:webHidden/>
          </w:rPr>
          <w:t>10</w:t>
        </w:r>
        <w:r w:rsidR="00D73787">
          <w:rPr>
            <w:noProof/>
            <w:webHidden/>
          </w:rPr>
          <w:fldChar w:fldCharType="end"/>
        </w:r>
      </w:hyperlink>
    </w:p>
    <w:p w14:paraId="3CFF04C1" w14:textId="5866EBF4" w:rsidR="00D73787" w:rsidRDefault="00467561" w:rsidP="00D73787">
      <w:pPr>
        <w:pStyle w:val="TM1"/>
        <w:rPr>
          <w:rFonts w:asciiTheme="minorHAnsi" w:eastAsiaTheme="minorEastAsia" w:hAnsiTheme="minorHAnsi" w:cstheme="minorBidi"/>
          <w:color w:val="auto"/>
          <w:kern w:val="2"/>
          <w:sz w:val="22"/>
          <w:szCs w:val="22"/>
          <w14:ligatures w14:val="standardContextual"/>
        </w:rPr>
      </w:pPr>
      <w:hyperlink w:anchor="_Toc160043527" w:history="1">
        <w:r w:rsidR="00D73787" w:rsidRPr="003C339F">
          <w:rPr>
            <w:rStyle w:val="Lienhypertexte"/>
          </w:rPr>
          <w:t>2.</w:t>
        </w:r>
        <w:r w:rsidR="00D73787" w:rsidRPr="003C339F">
          <w:rPr>
            <w:rStyle w:val="Lienhypertexte"/>
            <w:rFonts w:asciiTheme="majorHAnsi" w:hAnsiTheme="majorHAnsi"/>
          </w:rPr>
          <w:t xml:space="preserve"> L’Autorité émet un avis conforme sur les demandes de Dérogation liées à l’existence de « circonstances exceptionnelles »</w:t>
        </w:r>
        <w:r w:rsidR="00D73787">
          <w:rPr>
            <w:webHidden/>
          </w:rPr>
          <w:tab/>
        </w:r>
        <w:r w:rsidR="00D73787">
          <w:rPr>
            <w:webHidden/>
          </w:rPr>
          <w:fldChar w:fldCharType="begin"/>
        </w:r>
        <w:r w:rsidR="00D73787">
          <w:rPr>
            <w:webHidden/>
          </w:rPr>
          <w:instrText xml:space="preserve"> PAGEREF _Toc160043527 \h </w:instrText>
        </w:r>
        <w:r w:rsidR="00D73787">
          <w:rPr>
            <w:webHidden/>
          </w:rPr>
        </w:r>
        <w:r w:rsidR="00D73787">
          <w:rPr>
            <w:webHidden/>
          </w:rPr>
          <w:fldChar w:fldCharType="separate"/>
        </w:r>
        <w:r w:rsidR="00D73787">
          <w:rPr>
            <w:webHidden/>
          </w:rPr>
          <w:t>11</w:t>
        </w:r>
        <w:r w:rsidR="00D73787">
          <w:rPr>
            <w:webHidden/>
          </w:rPr>
          <w:fldChar w:fldCharType="end"/>
        </w:r>
      </w:hyperlink>
    </w:p>
    <w:p w14:paraId="1E6637C8" w14:textId="354F7FA8"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28" w:history="1">
        <w:r w:rsidR="00D73787" w:rsidRPr="003C339F">
          <w:rPr>
            <w:rStyle w:val="Lienhypertexte"/>
            <w:noProof/>
          </w:rPr>
          <w:t>2.1.</w:t>
        </w:r>
        <w:r w:rsidR="00D73787" w:rsidRPr="003C339F">
          <w:rPr>
            <w:rStyle w:val="Lienhypertexte"/>
            <w:rFonts w:asciiTheme="majorHAnsi" w:hAnsiTheme="majorHAnsi"/>
            <w:noProof/>
          </w:rPr>
          <w:t xml:space="preserve"> Le règlement OSP prévoit deux cas de figure non exhaustifs de circonstances exceptionnelles et encadre le recours à cette dérogation dans le temps</w:t>
        </w:r>
        <w:r w:rsidR="00D73787">
          <w:rPr>
            <w:noProof/>
            <w:webHidden/>
          </w:rPr>
          <w:tab/>
        </w:r>
        <w:r w:rsidR="00D73787">
          <w:rPr>
            <w:noProof/>
            <w:webHidden/>
          </w:rPr>
          <w:fldChar w:fldCharType="begin"/>
        </w:r>
        <w:r w:rsidR="00D73787">
          <w:rPr>
            <w:noProof/>
            <w:webHidden/>
          </w:rPr>
          <w:instrText xml:space="preserve"> PAGEREF _Toc160043528 \h </w:instrText>
        </w:r>
        <w:r w:rsidR="00D73787">
          <w:rPr>
            <w:noProof/>
            <w:webHidden/>
          </w:rPr>
        </w:r>
        <w:r w:rsidR="00D73787">
          <w:rPr>
            <w:noProof/>
            <w:webHidden/>
          </w:rPr>
          <w:fldChar w:fldCharType="separate"/>
        </w:r>
        <w:r w:rsidR="00D73787">
          <w:rPr>
            <w:noProof/>
            <w:webHidden/>
          </w:rPr>
          <w:t>11</w:t>
        </w:r>
        <w:r w:rsidR="00D73787">
          <w:rPr>
            <w:noProof/>
            <w:webHidden/>
          </w:rPr>
          <w:fldChar w:fldCharType="end"/>
        </w:r>
      </w:hyperlink>
    </w:p>
    <w:p w14:paraId="5276BB10" w14:textId="48BD64E3"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29" w:history="1">
        <w:r w:rsidR="00D73787" w:rsidRPr="003C339F">
          <w:rPr>
            <w:rStyle w:val="Lienhypertexte"/>
            <w:noProof/>
          </w:rPr>
          <w:t>2.2.</w:t>
        </w:r>
        <w:r w:rsidR="00D73787" w:rsidRPr="003C339F">
          <w:rPr>
            <w:rStyle w:val="Lienhypertexte"/>
            <w:rFonts w:asciiTheme="majorHAnsi" w:hAnsiTheme="majorHAnsi"/>
            <w:noProof/>
          </w:rPr>
          <w:t xml:space="preserve"> Modalités d’analyse mises en œuvre par l’Autorité en cas de demande de dérogation motivée par des circonstances exceptionnelles</w:t>
        </w:r>
        <w:r w:rsidR="00D73787">
          <w:rPr>
            <w:noProof/>
            <w:webHidden/>
          </w:rPr>
          <w:tab/>
        </w:r>
        <w:r w:rsidR="00D73787">
          <w:rPr>
            <w:noProof/>
            <w:webHidden/>
          </w:rPr>
          <w:fldChar w:fldCharType="begin"/>
        </w:r>
        <w:r w:rsidR="00D73787">
          <w:rPr>
            <w:noProof/>
            <w:webHidden/>
          </w:rPr>
          <w:instrText xml:space="preserve"> PAGEREF _Toc160043529 \h </w:instrText>
        </w:r>
        <w:r w:rsidR="00D73787">
          <w:rPr>
            <w:noProof/>
            <w:webHidden/>
          </w:rPr>
        </w:r>
        <w:r w:rsidR="00D73787">
          <w:rPr>
            <w:noProof/>
            <w:webHidden/>
          </w:rPr>
          <w:fldChar w:fldCharType="separate"/>
        </w:r>
        <w:r w:rsidR="00D73787">
          <w:rPr>
            <w:noProof/>
            <w:webHidden/>
          </w:rPr>
          <w:t>12</w:t>
        </w:r>
        <w:r w:rsidR="00D73787">
          <w:rPr>
            <w:noProof/>
            <w:webHidden/>
          </w:rPr>
          <w:fldChar w:fldCharType="end"/>
        </w:r>
      </w:hyperlink>
    </w:p>
    <w:p w14:paraId="2FF332A0" w14:textId="77492DAF" w:rsidR="00D73787" w:rsidRDefault="00467561">
      <w:pPr>
        <w:pStyle w:val="TM3"/>
        <w:rPr>
          <w:rFonts w:asciiTheme="minorHAnsi" w:eastAsiaTheme="minorEastAsia" w:hAnsiTheme="minorHAnsi" w:cstheme="minorBidi"/>
          <w:noProof/>
          <w:color w:val="auto"/>
          <w:kern w:val="2"/>
          <w:sz w:val="22"/>
          <w:szCs w:val="22"/>
          <w14:ligatures w14:val="standardContextual"/>
        </w:rPr>
      </w:pPr>
      <w:hyperlink w:anchor="_Toc160043530" w:history="1">
        <w:r w:rsidR="00D73787" w:rsidRPr="003C339F">
          <w:rPr>
            <w:rStyle w:val="Lienhypertexte"/>
            <w:rFonts w:asciiTheme="majorHAnsi" w:hAnsiTheme="majorHAnsi"/>
            <w:noProof/>
            <w14:scene3d>
              <w14:camera w14:prst="orthographicFront"/>
              <w14:lightRig w14:rig="threePt" w14:dir="t">
                <w14:rot w14:lat="0" w14:lon="0" w14:rev="0"/>
              </w14:lightRig>
            </w14:scene3d>
          </w:rPr>
          <w:t>2.2.1.</w:t>
        </w:r>
        <w:r w:rsidR="00D73787" w:rsidRPr="003C339F">
          <w:rPr>
            <w:rStyle w:val="Lienhypertexte"/>
            <w:rFonts w:asciiTheme="majorHAnsi" w:hAnsiTheme="majorHAnsi"/>
            <w:noProof/>
          </w:rPr>
          <w:t xml:space="preserve"> Les demandes de dérogation fondées sur de nécessaires modifications du champ d’application du contrat feront l’objet d’une appréciation au cas par cas</w:t>
        </w:r>
        <w:r w:rsidR="00D73787">
          <w:rPr>
            <w:noProof/>
            <w:webHidden/>
          </w:rPr>
          <w:tab/>
        </w:r>
        <w:r w:rsidR="00D73787">
          <w:rPr>
            <w:noProof/>
            <w:webHidden/>
          </w:rPr>
          <w:fldChar w:fldCharType="begin"/>
        </w:r>
        <w:r w:rsidR="00D73787">
          <w:rPr>
            <w:noProof/>
            <w:webHidden/>
          </w:rPr>
          <w:instrText xml:space="preserve"> PAGEREF _Toc160043530 \h </w:instrText>
        </w:r>
        <w:r w:rsidR="00D73787">
          <w:rPr>
            <w:noProof/>
            <w:webHidden/>
          </w:rPr>
        </w:r>
        <w:r w:rsidR="00D73787">
          <w:rPr>
            <w:noProof/>
            <w:webHidden/>
          </w:rPr>
          <w:fldChar w:fldCharType="separate"/>
        </w:r>
        <w:r w:rsidR="00D73787">
          <w:rPr>
            <w:noProof/>
            <w:webHidden/>
          </w:rPr>
          <w:t>13</w:t>
        </w:r>
        <w:r w:rsidR="00D73787">
          <w:rPr>
            <w:noProof/>
            <w:webHidden/>
          </w:rPr>
          <w:fldChar w:fldCharType="end"/>
        </w:r>
      </w:hyperlink>
    </w:p>
    <w:p w14:paraId="1FE9E77D" w14:textId="3FE90CA7" w:rsidR="00D73787" w:rsidRDefault="00467561">
      <w:pPr>
        <w:pStyle w:val="TM3"/>
        <w:rPr>
          <w:rFonts w:asciiTheme="minorHAnsi" w:eastAsiaTheme="minorEastAsia" w:hAnsiTheme="minorHAnsi" w:cstheme="minorBidi"/>
          <w:noProof/>
          <w:color w:val="auto"/>
          <w:kern w:val="2"/>
          <w:sz w:val="22"/>
          <w:szCs w:val="22"/>
          <w14:ligatures w14:val="standardContextual"/>
        </w:rPr>
      </w:pPr>
      <w:hyperlink w:anchor="_Toc160043531" w:history="1">
        <w:r w:rsidR="00D73787" w:rsidRPr="003C339F">
          <w:rPr>
            <w:rStyle w:val="Lienhypertexte"/>
            <w:rFonts w:asciiTheme="majorHAnsi" w:hAnsiTheme="majorHAnsi"/>
            <w:noProof/>
            <w14:scene3d>
              <w14:camera w14:prst="orthographicFront"/>
              <w14:lightRig w14:rig="threePt" w14:dir="t">
                <w14:rot w14:lat="0" w14:lon="0" w14:rev="0"/>
              </w14:lightRig>
            </w14:scene3d>
          </w:rPr>
          <w:t>2.2.2.</w:t>
        </w:r>
        <w:r w:rsidR="00D73787" w:rsidRPr="003C339F">
          <w:rPr>
            <w:rStyle w:val="Lienhypertexte"/>
            <w:rFonts w:asciiTheme="majorHAnsi" w:hAnsiTheme="majorHAnsi"/>
            <w:noProof/>
          </w:rPr>
          <w:t xml:space="preserve"> L’AOT saisissante devra justifier du caractère proportionn</w:t>
        </w:r>
        <w:r w:rsidR="00D73787" w:rsidRPr="003C339F">
          <w:rPr>
            <w:rStyle w:val="Lienhypertexte"/>
            <w:rFonts w:asciiTheme="majorHAnsi" w:hAnsiTheme="majorHAnsi" w:cs="Roboto"/>
            <w:noProof/>
          </w:rPr>
          <w:t>é</w:t>
        </w:r>
        <w:r w:rsidR="00D73787" w:rsidRPr="003C339F">
          <w:rPr>
            <w:rStyle w:val="Lienhypertexte"/>
            <w:rFonts w:asciiTheme="majorHAnsi" w:hAnsiTheme="majorHAnsi"/>
            <w:noProof/>
          </w:rPr>
          <w:t xml:space="preserve"> de la dur</w:t>
        </w:r>
        <w:r w:rsidR="00D73787" w:rsidRPr="003C339F">
          <w:rPr>
            <w:rStyle w:val="Lienhypertexte"/>
            <w:rFonts w:asciiTheme="majorHAnsi" w:hAnsiTheme="majorHAnsi" w:cs="Roboto"/>
            <w:noProof/>
          </w:rPr>
          <w:t>é</w:t>
        </w:r>
        <w:r w:rsidR="00D73787" w:rsidRPr="003C339F">
          <w:rPr>
            <w:rStyle w:val="Lienhypertexte"/>
            <w:rFonts w:asciiTheme="majorHAnsi" w:hAnsiTheme="majorHAnsi"/>
            <w:noProof/>
          </w:rPr>
          <w:t xml:space="preserve">e du contrat </w:t>
        </w:r>
        <w:r w:rsidR="00D73787" w:rsidRPr="003C339F">
          <w:rPr>
            <w:rStyle w:val="Lienhypertexte"/>
            <w:rFonts w:asciiTheme="majorHAnsi" w:hAnsiTheme="majorHAnsi" w:cs="Roboto"/>
            <w:noProof/>
          </w:rPr>
          <w:t>à</w:t>
        </w:r>
        <w:r w:rsidR="00D73787" w:rsidRPr="003C339F">
          <w:rPr>
            <w:rStyle w:val="Lienhypertexte"/>
            <w:rFonts w:asciiTheme="majorHAnsi" w:hAnsiTheme="majorHAnsi"/>
            <w:noProof/>
          </w:rPr>
          <w:t xml:space="preserve"> la circonstance exceptionnelle invoqu</w:t>
        </w:r>
        <w:r w:rsidR="00D73787" w:rsidRPr="003C339F">
          <w:rPr>
            <w:rStyle w:val="Lienhypertexte"/>
            <w:rFonts w:asciiTheme="majorHAnsi" w:hAnsiTheme="majorHAnsi" w:cs="Roboto"/>
            <w:noProof/>
          </w:rPr>
          <w:t>é</w:t>
        </w:r>
        <w:r w:rsidR="00D73787" w:rsidRPr="003C339F">
          <w:rPr>
            <w:rStyle w:val="Lienhypertexte"/>
            <w:rFonts w:asciiTheme="majorHAnsi" w:hAnsiTheme="majorHAnsi"/>
            <w:noProof/>
          </w:rPr>
          <w:t>e et d’un calendrier prévisionnel d’ouverture à la concurrence</w:t>
        </w:r>
        <w:r w:rsidR="00D73787">
          <w:rPr>
            <w:noProof/>
            <w:webHidden/>
          </w:rPr>
          <w:tab/>
        </w:r>
        <w:r w:rsidR="00D73787">
          <w:rPr>
            <w:noProof/>
            <w:webHidden/>
          </w:rPr>
          <w:fldChar w:fldCharType="begin"/>
        </w:r>
        <w:r w:rsidR="00D73787">
          <w:rPr>
            <w:noProof/>
            <w:webHidden/>
          </w:rPr>
          <w:instrText xml:space="preserve"> PAGEREF _Toc160043531 \h </w:instrText>
        </w:r>
        <w:r w:rsidR="00D73787">
          <w:rPr>
            <w:noProof/>
            <w:webHidden/>
          </w:rPr>
        </w:r>
        <w:r w:rsidR="00D73787">
          <w:rPr>
            <w:noProof/>
            <w:webHidden/>
          </w:rPr>
          <w:fldChar w:fldCharType="separate"/>
        </w:r>
        <w:r w:rsidR="00D73787">
          <w:rPr>
            <w:noProof/>
            <w:webHidden/>
          </w:rPr>
          <w:t>14</w:t>
        </w:r>
        <w:r w:rsidR="00D73787">
          <w:rPr>
            <w:noProof/>
            <w:webHidden/>
          </w:rPr>
          <w:fldChar w:fldCharType="end"/>
        </w:r>
      </w:hyperlink>
    </w:p>
    <w:p w14:paraId="6B626533" w14:textId="1E6EB531"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32" w:history="1">
        <w:r w:rsidR="00D73787" w:rsidRPr="003C339F">
          <w:rPr>
            <w:rStyle w:val="Lienhypertexte"/>
            <w:rFonts w:cs="Segoe UI"/>
            <w:noProof/>
          </w:rPr>
          <w:t>2.3.</w:t>
        </w:r>
        <w:r w:rsidR="00D73787" w:rsidRPr="003C339F">
          <w:rPr>
            <w:rStyle w:val="Lienhypertexte"/>
            <w:rFonts w:asciiTheme="majorHAnsi" w:hAnsiTheme="majorHAnsi"/>
            <w:noProof/>
          </w:rPr>
          <w:t xml:space="preserve"> La composition du dossier de saisine de l’Autorité prévu à l’article 3 du décret du 15 juin 2020 susvisé dépend de la circonstance exceptionnelle invoquée</w:t>
        </w:r>
        <w:r w:rsidR="00D73787">
          <w:rPr>
            <w:noProof/>
            <w:webHidden/>
          </w:rPr>
          <w:tab/>
        </w:r>
        <w:r w:rsidR="00D73787">
          <w:rPr>
            <w:noProof/>
            <w:webHidden/>
          </w:rPr>
          <w:fldChar w:fldCharType="begin"/>
        </w:r>
        <w:r w:rsidR="00D73787">
          <w:rPr>
            <w:noProof/>
            <w:webHidden/>
          </w:rPr>
          <w:instrText xml:space="preserve"> PAGEREF _Toc160043532 \h </w:instrText>
        </w:r>
        <w:r w:rsidR="00D73787">
          <w:rPr>
            <w:noProof/>
            <w:webHidden/>
          </w:rPr>
        </w:r>
        <w:r w:rsidR="00D73787">
          <w:rPr>
            <w:noProof/>
            <w:webHidden/>
          </w:rPr>
          <w:fldChar w:fldCharType="separate"/>
        </w:r>
        <w:r w:rsidR="00D73787">
          <w:rPr>
            <w:noProof/>
            <w:webHidden/>
          </w:rPr>
          <w:t>14</w:t>
        </w:r>
        <w:r w:rsidR="00D73787">
          <w:rPr>
            <w:noProof/>
            <w:webHidden/>
          </w:rPr>
          <w:fldChar w:fldCharType="end"/>
        </w:r>
      </w:hyperlink>
    </w:p>
    <w:p w14:paraId="38D1379C" w14:textId="116D2BD7" w:rsidR="00D73787" w:rsidRDefault="00467561" w:rsidP="00D73787">
      <w:pPr>
        <w:pStyle w:val="TM1"/>
        <w:rPr>
          <w:rFonts w:asciiTheme="minorHAnsi" w:eastAsiaTheme="minorEastAsia" w:hAnsiTheme="minorHAnsi" w:cstheme="minorBidi"/>
          <w:color w:val="auto"/>
          <w:kern w:val="2"/>
          <w:sz w:val="22"/>
          <w:szCs w:val="22"/>
          <w14:ligatures w14:val="standardContextual"/>
        </w:rPr>
      </w:pPr>
      <w:hyperlink w:anchor="_Toc160043533" w:history="1">
        <w:r w:rsidR="00D73787" w:rsidRPr="003C339F">
          <w:rPr>
            <w:rStyle w:val="Lienhypertexte"/>
          </w:rPr>
          <w:t>3.</w:t>
        </w:r>
        <w:r w:rsidR="00D73787" w:rsidRPr="003C339F">
          <w:rPr>
            <w:rStyle w:val="Lienhypertexte"/>
            <w:rFonts w:asciiTheme="majorHAnsi" w:hAnsiTheme="majorHAnsi"/>
          </w:rPr>
          <w:t xml:space="preserve"> L’Autorité émet un avis conforme sur les demandes de Dérogation liées à l’existence de Caractéristiques structurelles et géographiques du marché et du réseau</w:t>
        </w:r>
        <w:r w:rsidR="00D73787">
          <w:rPr>
            <w:webHidden/>
          </w:rPr>
          <w:tab/>
        </w:r>
        <w:r w:rsidR="00D73787">
          <w:rPr>
            <w:webHidden/>
          </w:rPr>
          <w:fldChar w:fldCharType="begin"/>
        </w:r>
        <w:r w:rsidR="00D73787">
          <w:rPr>
            <w:webHidden/>
          </w:rPr>
          <w:instrText xml:space="preserve"> PAGEREF _Toc160043533 \h </w:instrText>
        </w:r>
        <w:r w:rsidR="00D73787">
          <w:rPr>
            <w:webHidden/>
          </w:rPr>
        </w:r>
        <w:r w:rsidR="00D73787">
          <w:rPr>
            <w:webHidden/>
          </w:rPr>
          <w:fldChar w:fldCharType="separate"/>
        </w:r>
        <w:r w:rsidR="00D73787">
          <w:rPr>
            <w:webHidden/>
          </w:rPr>
          <w:t>16</w:t>
        </w:r>
        <w:r w:rsidR="00D73787">
          <w:rPr>
            <w:webHidden/>
          </w:rPr>
          <w:fldChar w:fldCharType="end"/>
        </w:r>
      </w:hyperlink>
    </w:p>
    <w:p w14:paraId="4D4F2CAB" w14:textId="30C2F8D4"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34" w:history="1">
        <w:r w:rsidR="00D73787" w:rsidRPr="003C339F">
          <w:rPr>
            <w:rStyle w:val="Lienhypertexte"/>
            <w:noProof/>
          </w:rPr>
          <w:t>3.1.</w:t>
        </w:r>
        <w:r w:rsidR="00D73787" w:rsidRPr="003C339F">
          <w:rPr>
            <w:rStyle w:val="Lienhypertexte"/>
            <w:rFonts w:asciiTheme="majorHAnsi" w:hAnsiTheme="majorHAnsi"/>
            <w:noProof/>
          </w:rPr>
          <w:t xml:space="preserve"> Le règlement OSP pose deux conditions cumulatives pour recourir à cette dérogation, liée à la performance des services publics de transport</w:t>
        </w:r>
        <w:r w:rsidR="00D73787">
          <w:rPr>
            <w:noProof/>
            <w:webHidden/>
          </w:rPr>
          <w:tab/>
        </w:r>
        <w:r w:rsidR="00D73787">
          <w:rPr>
            <w:noProof/>
            <w:webHidden/>
          </w:rPr>
          <w:fldChar w:fldCharType="begin"/>
        </w:r>
        <w:r w:rsidR="00D73787">
          <w:rPr>
            <w:noProof/>
            <w:webHidden/>
          </w:rPr>
          <w:instrText xml:space="preserve"> PAGEREF _Toc160043534 \h </w:instrText>
        </w:r>
        <w:r w:rsidR="00D73787">
          <w:rPr>
            <w:noProof/>
            <w:webHidden/>
          </w:rPr>
        </w:r>
        <w:r w:rsidR="00D73787">
          <w:rPr>
            <w:noProof/>
            <w:webHidden/>
          </w:rPr>
          <w:fldChar w:fldCharType="separate"/>
        </w:r>
        <w:r w:rsidR="00D73787">
          <w:rPr>
            <w:noProof/>
            <w:webHidden/>
          </w:rPr>
          <w:t>16</w:t>
        </w:r>
        <w:r w:rsidR="00D73787">
          <w:rPr>
            <w:noProof/>
            <w:webHidden/>
          </w:rPr>
          <w:fldChar w:fldCharType="end"/>
        </w:r>
      </w:hyperlink>
    </w:p>
    <w:p w14:paraId="71718385" w14:textId="6CA86BC6"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35" w:history="1">
        <w:r w:rsidR="00D73787" w:rsidRPr="003C339F">
          <w:rPr>
            <w:rStyle w:val="Lienhypertexte"/>
            <w:rFonts w:eastAsia="Roboto" w:cs="Roboto"/>
            <w:noProof/>
          </w:rPr>
          <w:t>3.2.</w:t>
        </w:r>
        <w:r w:rsidR="00D73787" w:rsidRPr="003C339F">
          <w:rPr>
            <w:rStyle w:val="Lienhypertexte"/>
            <w:rFonts w:asciiTheme="majorHAnsi" w:hAnsiTheme="majorHAnsi"/>
            <w:noProof/>
          </w:rPr>
          <w:t xml:space="preserve"> Dans un premier temps, l’Autorité vérifiera l’existence de « caractéristiques structurelles et géographiques du marché et du réseau » justifiant une attribution directe</w:t>
        </w:r>
        <w:r w:rsidR="00D73787">
          <w:rPr>
            <w:noProof/>
            <w:webHidden/>
          </w:rPr>
          <w:tab/>
        </w:r>
        <w:r w:rsidR="00D73787">
          <w:rPr>
            <w:noProof/>
            <w:webHidden/>
          </w:rPr>
          <w:fldChar w:fldCharType="begin"/>
        </w:r>
        <w:r w:rsidR="00D73787">
          <w:rPr>
            <w:noProof/>
            <w:webHidden/>
          </w:rPr>
          <w:instrText xml:space="preserve"> PAGEREF _Toc160043535 \h </w:instrText>
        </w:r>
        <w:r w:rsidR="00D73787">
          <w:rPr>
            <w:noProof/>
            <w:webHidden/>
          </w:rPr>
        </w:r>
        <w:r w:rsidR="00D73787">
          <w:rPr>
            <w:noProof/>
            <w:webHidden/>
          </w:rPr>
          <w:fldChar w:fldCharType="separate"/>
        </w:r>
        <w:r w:rsidR="00D73787">
          <w:rPr>
            <w:noProof/>
            <w:webHidden/>
          </w:rPr>
          <w:t>17</w:t>
        </w:r>
        <w:r w:rsidR="00D73787">
          <w:rPr>
            <w:noProof/>
            <w:webHidden/>
          </w:rPr>
          <w:fldChar w:fldCharType="end"/>
        </w:r>
      </w:hyperlink>
    </w:p>
    <w:p w14:paraId="2ACF78A2" w14:textId="5E5CFC5D"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36" w:history="1">
        <w:r w:rsidR="00D73787" w:rsidRPr="003C339F">
          <w:rPr>
            <w:rStyle w:val="Lienhypertexte"/>
            <w:rFonts w:eastAsia="Roboto" w:cs="Roboto"/>
            <w:noProof/>
          </w:rPr>
          <w:t>3.3.</w:t>
        </w:r>
        <w:r w:rsidR="00D73787" w:rsidRPr="003C339F">
          <w:rPr>
            <w:rStyle w:val="Lienhypertexte"/>
            <w:rFonts w:asciiTheme="majorHAnsi" w:hAnsiTheme="majorHAnsi"/>
            <w:noProof/>
          </w:rPr>
          <w:t xml:space="preserve"> Dans un second temps, l’Autorité vérifiera que l’attribution directe améliore significativement la qualité de service ou le rapport coût-efficacité ou les deux</w:t>
        </w:r>
        <w:r w:rsidR="00D73787">
          <w:rPr>
            <w:noProof/>
            <w:webHidden/>
          </w:rPr>
          <w:tab/>
        </w:r>
        <w:r w:rsidR="00D73787">
          <w:rPr>
            <w:noProof/>
            <w:webHidden/>
          </w:rPr>
          <w:fldChar w:fldCharType="begin"/>
        </w:r>
        <w:r w:rsidR="00D73787">
          <w:rPr>
            <w:noProof/>
            <w:webHidden/>
          </w:rPr>
          <w:instrText xml:space="preserve"> PAGEREF _Toc160043536 \h </w:instrText>
        </w:r>
        <w:r w:rsidR="00D73787">
          <w:rPr>
            <w:noProof/>
            <w:webHidden/>
          </w:rPr>
        </w:r>
        <w:r w:rsidR="00D73787">
          <w:rPr>
            <w:noProof/>
            <w:webHidden/>
          </w:rPr>
          <w:fldChar w:fldCharType="separate"/>
        </w:r>
        <w:r w:rsidR="00D73787">
          <w:rPr>
            <w:noProof/>
            <w:webHidden/>
          </w:rPr>
          <w:t>18</w:t>
        </w:r>
        <w:r w:rsidR="00D73787">
          <w:rPr>
            <w:noProof/>
            <w:webHidden/>
          </w:rPr>
          <w:fldChar w:fldCharType="end"/>
        </w:r>
      </w:hyperlink>
    </w:p>
    <w:p w14:paraId="7453A74E" w14:textId="77C1422B" w:rsidR="00D73787" w:rsidRDefault="00467561">
      <w:pPr>
        <w:pStyle w:val="TM3"/>
        <w:rPr>
          <w:rFonts w:asciiTheme="minorHAnsi" w:eastAsiaTheme="minorEastAsia" w:hAnsiTheme="minorHAnsi" w:cstheme="minorBidi"/>
          <w:noProof/>
          <w:color w:val="auto"/>
          <w:kern w:val="2"/>
          <w:sz w:val="22"/>
          <w:szCs w:val="22"/>
          <w14:ligatures w14:val="standardContextual"/>
        </w:rPr>
      </w:pPr>
      <w:hyperlink w:anchor="_Toc160043537" w:history="1">
        <w:r w:rsidR="00D73787" w:rsidRPr="003C339F">
          <w:rPr>
            <w:rStyle w:val="Lienhypertexte"/>
            <w:rFonts w:asciiTheme="majorHAnsi" w:hAnsiTheme="majorHAnsi"/>
            <w:noProof/>
            <w14:scene3d>
              <w14:camera w14:prst="orthographicFront"/>
              <w14:lightRig w14:rig="threePt" w14:dir="t">
                <w14:rot w14:lat="0" w14:lon="0" w14:rev="0"/>
              </w14:lightRig>
            </w14:scene3d>
          </w:rPr>
          <w:t>3.3.1.</w:t>
        </w:r>
        <w:r w:rsidR="00D73787" w:rsidRPr="003C339F">
          <w:rPr>
            <w:rStyle w:val="Lienhypertexte"/>
            <w:rFonts w:asciiTheme="majorHAnsi" w:hAnsiTheme="majorHAnsi"/>
            <w:noProof/>
          </w:rPr>
          <w:t xml:space="preserve"> Amélioration significative de la qualité de service par rapport au contrat de service public précédent</w:t>
        </w:r>
        <w:r w:rsidR="00D73787">
          <w:rPr>
            <w:noProof/>
            <w:webHidden/>
          </w:rPr>
          <w:tab/>
        </w:r>
        <w:r w:rsidR="00D73787">
          <w:rPr>
            <w:noProof/>
            <w:webHidden/>
          </w:rPr>
          <w:fldChar w:fldCharType="begin"/>
        </w:r>
        <w:r w:rsidR="00D73787">
          <w:rPr>
            <w:noProof/>
            <w:webHidden/>
          </w:rPr>
          <w:instrText xml:space="preserve"> PAGEREF _Toc160043537 \h </w:instrText>
        </w:r>
        <w:r w:rsidR="00D73787">
          <w:rPr>
            <w:noProof/>
            <w:webHidden/>
          </w:rPr>
        </w:r>
        <w:r w:rsidR="00D73787">
          <w:rPr>
            <w:noProof/>
            <w:webHidden/>
          </w:rPr>
          <w:fldChar w:fldCharType="separate"/>
        </w:r>
        <w:r w:rsidR="00D73787">
          <w:rPr>
            <w:noProof/>
            <w:webHidden/>
          </w:rPr>
          <w:t>18</w:t>
        </w:r>
        <w:r w:rsidR="00D73787">
          <w:rPr>
            <w:noProof/>
            <w:webHidden/>
          </w:rPr>
          <w:fldChar w:fldCharType="end"/>
        </w:r>
      </w:hyperlink>
    </w:p>
    <w:p w14:paraId="48464DFA" w14:textId="62D34481" w:rsidR="00D73787" w:rsidRDefault="00467561">
      <w:pPr>
        <w:pStyle w:val="TM3"/>
        <w:rPr>
          <w:rFonts w:asciiTheme="minorHAnsi" w:eastAsiaTheme="minorEastAsia" w:hAnsiTheme="minorHAnsi" w:cstheme="minorBidi"/>
          <w:noProof/>
          <w:color w:val="auto"/>
          <w:kern w:val="2"/>
          <w:sz w:val="22"/>
          <w:szCs w:val="22"/>
          <w14:ligatures w14:val="standardContextual"/>
        </w:rPr>
      </w:pPr>
      <w:hyperlink w:anchor="_Toc160043538" w:history="1">
        <w:r w:rsidR="00D73787" w:rsidRPr="003C339F">
          <w:rPr>
            <w:rStyle w:val="Lienhypertexte"/>
            <w:rFonts w:asciiTheme="majorHAnsi" w:hAnsiTheme="majorHAnsi"/>
            <w:noProof/>
            <w14:scene3d>
              <w14:camera w14:prst="orthographicFront"/>
              <w14:lightRig w14:rig="threePt" w14:dir="t">
                <w14:rot w14:lat="0" w14:lon="0" w14:rev="0"/>
              </w14:lightRig>
            </w14:scene3d>
          </w:rPr>
          <w:t>3.3.2.</w:t>
        </w:r>
        <w:r w:rsidR="00D73787" w:rsidRPr="003C339F">
          <w:rPr>
            <w:rStyle w:val="Lienhypertexte"/>
            <w:rFonts w:asciiTheme="majorHAnsi" w:hAnsiTheme="majorHAnsi"/>
            <w:noProof/>
          </w:rPr>
          <w:t xml:space="preserve"> Amélioration significative du rapport coût-efficacité par rapport au contrat précédent</w:t>
        </w:r>
        <w:r w:rsidR="00D73787">
          <w:rPr>
            <w:noProof/>
            <w:webHidden/>
          </w:rPr>
          <w:tab/>
        </w:r>
        <w:r w:rsidR="00D73787">
          <w:rPr>
            <w:noProof/>
            <w:webHidden/>
          </w:rPr>
          <w:fldChar w:fldCharType="begin"/>
        </w:r>
        <w:r w:rsidR="00D73787">
          <w:rPr>
            <w:noProof/>
            <w:webHidden/>
          </w:rPr>
          <w:instrText xml:space="preserve"> PAGEREF _Toc160043538 \h </w:instrText>
        </w:r>
        <w:r w:rsidR="00D73787">
          <w:rPr>
            <w:noProof/>
            <w:webHidden/>
          </w:rPr>
        </w:r>
        <w:r w:rsidR="00D73787">
          <w:rPr>
            <w:noProof/>
            <w:webHidden/>
          </w:rPr>
          <w:fldChar w:fldCharType="separate"/>
        </w:r>
        <w:r w:rsidR="00D73787">
          <w:rPr>
            <w:noProof/>
            <w:webHidden/>
          </w:rPr>
          <w:t>19</w:t>
        </w:r>
        <w:r w:rsidR="00D73787">
          <w:rPr>
            <w:noProof/>
            <w:webHidden/>
          </w:rPr>
          <w:fldChar w:fldCharType="end"/>
        </w:r>
      </w:hyperlink>
    </w:p>
    <w:p w14:paraId="4C2A465D" w14:textId="30169C5E"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39" w:history="1">
        <w:r w:rsidR="00D73787" w:rsidRPr="003C339F">
          <w:rPr>
            <w:rStyle w:val="Lienhypertexte"/>
            <w:rFonts w:eastAsia="Roboto" w:cs="Roboto"/>
            <w:noProof/>
          </w:rPr>
          <w:t>3.4.</w:t>
        </w:r>
        <w:r w:rsidR="00D73787" w:rsidRPr="003C339F">
          <w:rPr>
            <w:rStyle w:val="Lienhypertexte"/>
            <w:rFonts w:asciiTheme="majorHAnsi" w:hAnsiTheme="majorHAnsi"/>
            <w:noProof/>
          </w:rPr>
          <w:t xml:space="preserve"> Le dossier de saisine de l’Autorité prévu à l’article 3 du décret du 15 juin 2020 doit permettre d'attester du respect des deux conditions cumulatives prévues dans le règlement OSP</w:t>
        </w:r>
        <w:r w:rsidR="00D73787">
          <w:rPr>
            <w:noProof/>
            <w:webHidden/>
          </w:rPr>
          <w:tab/>
        </w:r>
        <w:r w:rsidR="00D73787">
          <w:rPr>
            <w:noProof/>
            <w:webHidden/>
          </w:rPr>
          <w:fldChar w:fldCharType="begin"/>
        </w:r>
        <w:r w:rsidR="00D73787">
          <w:rPr>
            <w:noProof/>
            <w:webHidden/>
          </w:rPr>
          <w:instrText xml:space="preserve"> PAGEREF _Toc160043539 \h </w:instrText>
        </w:r>
        <w:r w:rsidR="00D73787">
          <w:rPr>
            <w:noProof/>
            <w:webHidden/>
          </w:rPr>
        </w:r>
        <w:r w:rsidR="00D73787">
          <w:rPr>
            <w:noProof/>
            <w:webHidden/>
          </w:rPr>
          <w:fldChar w:fldCharType="separate"/>
        </w:r>
        <w:r w:rsidR="00D73787">
          <w:rPr>
            <w:noProof/>
            <w:webHidden/>
          </w:rPr>
          <w:t>19</w:t>
        </w:r>
        <w:r w:rsidR="00D73787">
          <w:rPr>
            <w:noProof/>
            <w:webHidden/>
          </w:rPr>
          <w:fldChar w:fldCharType="end"/>
        </w:r>
      </w:hyperlink>
    </w:p>
    <w:p w14:paraId="0CDA2FC3" w14:textId="57C1FF53" w:rsidR="00D73787" w:rsidRDefault="00467561" w:rsidP="00D73787">
      <w:pPr>
        <w:pStyle w:val="TM1"/>
        <w:rPr>
          <w:rFonts w:asciiTheme="minorHAnsi" w:eastAsiaTheme="minorEastAsia" w:hAnsiTheme="minorHAnsi" w:cstheme="minorBidi"/>
          <w:color w:val="auto"/>
          <w:kern w:val="2"/>
          <w:sz w:val="22"/>
          <w:szCs w:val="22"/>
          <w14:ligatures w14:val="standardContextual"/>
        </w:rPr>
      </w:pPr>
      <w:hyperlink w:anchor="_Toc160043540" w:history="1">
        <w:r w:rsidR="00D73787" w:rsidRPr="003C339F">
          <w:rPr>
            <w:rStyle w:val="Lienhypertexte"/>
          </w:rPr>
          <w:t>4.</w:t>
        </w:r>
        <w:r w:rsidR="00D73787" w:rsidRPr="003C339F">
          <w:rPr>
            <w:rStyle w:val="Lienhypertexte"/>
            <w:rFonts w:asciiTheme="majorHAnsi" w:hAnsiTheme="majorHAnsi"/>
          </w:rPr>
          <w:t xml:space="preserve"> L’Autorité émet un avis simple sur les demandes de DÉROGATION relatives au cas où Le gestionnaire de l’infrastructure est aussi entreprise ferroviaire candidate sur le lot</w:t>
        </w:r>
        <w:r w:rsidR="00D73787">
          <w:rPr>
            <w:webHidden/>
          </w:rPr>
          <w:tab/>
        </w:r>
        <w:r w:rsidR="00D73787">
          <w:rPr>
            <w:webHidden/>
          </w:rPr>
          <w:fldChar w:fldCharType="begin"/>
        </w:r>
        <w:r w:rsidR="00D73787">
          <w:rPr>
            <w:webHidden/>
          </w:rPr>
          <w:instrText xml:space="preserve"> PAGEREF _Toc160043540 \h </w:instrText>
        </w:r>
        <w:r w:rsidR="00D73787">
          <w:rPr>
            <w:webHidden/>
          </w:rPr>
        </w:r>
        <w:r w:rsidR="00D73787">
          <w:rPr>
            <w:webHidden/>
          </w:rPr>
          <w:fldChar w:fldCharType="separate"/>
        </w:r>
        <w:r w:rsidR="00D73787">
          <w:rPr>
            <w:webHidden/>
          </w:rPr>
          <w:t>21</w:t>
        </w:r>
        <w:r w:rsidR="00D73787">
          <w:rPr>
            <w:webHidden/>
          </w:rPr>
          <w:fldChar w:fldCharType="end"/>
        </w:r>
      </w:hyperlink>
    </w:p>
    <w:p w14:paraId="2966F461" w14:textId="0D3437C3"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41" w:history="1">
        <w:r w:rsidR="00D73787" w:rsidRPr="003C339F">
          <w:rPr>
            <w:rStyle w:val="Lienhypertexte"/>
            <w:noProof/>
          </w:rPr>
          <w:t>4.1.</w:t>
        </w:r>
        <w:r w:rsidR="00D73787" w:rsidRPr="003C339F">
          <w:rPr>
            <w:rStyle w:val="Lienhypertexte"/>
            <w:rFonts w:asciiTheme="majorHAnsi" w:hAnsiTheme="majorHAnsi"/>
            <w:noProof/>
          </w:rPr>
          <w:t xml:space="preserve"> Le règlement OSP précise les infrastructures susceptibles de faire l’objet de la dérogation et encadre la durée des contrats attribués directement sur ce fondement</w:t>
        </w:r>
        <w:r w:rsidR="00D73787">
          <w:rPr>
            <w:noProof/>
            <w:webHidden/>
          </w:rPr>
          <w:tab/>
        </w:r>
        <w:r w:rsidR="00D73787">
          <w:rPr>
            <w:noProof/>
            <w:webHidden/>
          </w:rPr>
          <w:fldChar w:fldCharType="begin"/>
        </w:r>
        <w:r w:rsidR="00D73787">
          <w:rPr>
            <w:noProof/>
            <w:webHidden/>
          </w:rPr>
          <w:instrText xml:space="preserve"> PAGEREF _Toc160043541 \h </w:instrText>
        </w:r>
        <w:r w:rsidR="00D73787">
          <w:rPr>
            <w:noProof/>
            <w:webHidden/>
          </w:rPr>
        </w:r>
        <w:r w:rsidR="00D73787">
          <w:rPr>
            <w:noProof/>
            <w:webHidden/>
          </w:rPr>
          <w:fldChar w:fldCharType="separate"/>
        </w:r>
        <w:r w:rsidR="00D73787">
          <w:rPr>
            <w:noProof/>
            <w:webHidden/>
          </w:rPr>
          <w:t>21</w:t>
        </w:r>
        <w:r w:rsidR="00D73787">
          <w:rPr>
            <w:noProof/>
            <w:webHidden/>
          </w:rPr>
          <w:fldChar w:fldCharType="end"/>
        </w:r>
      </w:hyperlink>
    </w:p>
    <w:p w14:paraId="6DB9EAFA" w14:textId="64E132AF"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42" w:history="1">
        <w:r w:rsidR="00D73787" w:rsidRPr="003C339F">
          <w:rPr>
            <w:rStyle w:val="Lienhypertexte"/>
            <w:noProof/>
          </w:rPr>
          <w:t>4.2.</w:t>
        </w:r>
        <w:r w:rsidR="00D73787" w:rsidRPr="003C339F">
          <w:rPr>
            <w:rStyle w:val="Lienhypertexte"/>
            <w:rFonts w:asciiTheme="majorHAnsi" w:hAnsiTheme="majorHAnsi"/>
            <w:noProof/>
          </w:rPr>
          <w:t xml:space="preserve"> Dans le cas où l’Autorité est saisie par un tiers, l’AOT souhaitant recourir à cette dérogation devra justifier de la gestion majoritaire de l’infrastructure par le candidat sur le lot</w:t>
        </w:r>
        <w:r w:rsidR="00D73787">
          <w:rPr>
            <w:noProof/>
            <w:webHidden/>
          </w:rPr>
          <w:tab/>
        </w:r>
        <w:r w:rsidR="00D73787">
          <w:rPr>
            <w:noProof/>
            <w:webHidden/>
          </w:rPr>
          <w:fldChar w:fldCharType="begin"/>
        </w:r>
        <w:r w:rsidR="00D73787">
          <w:rPr>
            <w:noProof/>
            <w:webHidden/>
          </w:rPr>
          <w:instrText xml:space="preserve"> PAGEREF _Toc160043542 \h </w:instrText>
        </w:r>
        <w:r w:rsidR="00D73787">
          <w:rPr>
            <w:noProof/>
            <w:webHidden/>
          </w:rPr>
        </w:r>
        <w:r w:rsidR="00D73787">
          <w:rPr>
            <w:noProof/>
            <w:webHidden/>
          </w:rPr>
          <w:fldChar w:fldCharType="separate"/>
        </w:r>
        <w:r w:rsidR="00D73787">
          <w:rPr>
            <w:noProof/>
            <w:webHidden/>
          </w:rPr>
          <w:t>21</w:t>
        </w:r>
        <w:r w:rsidR="00D73787">
          <w:rPr>
            <w:noProof/>
            <w:webHidden/>
          </w:rPr>
          <w:fldChar w:fldCharType="end"/>
        </w:r>
      </w:hyperlink>
    </w:p>
    <w:p w14:paraId="10786C70" w14:textId="02A09D29" w:rsidR="00D73787" w:rsidRDefault="00467561">
      <w:pPr>
        <w:pStyle w:val="TM2"/>
        <w:rPr>
          <w:rFonts w:asciiTheme="minorHAnsi" w:eastAsiaTheme="minorEastAsia" w:hAnsiTheme="minorHAnsi" w:cstheme="minorBidi"/>
          <w:noProof/>
          <w:color w:val="auto"/>
          <w:kern w:val="2"/>
          <w:sz w:val="22"/>
          <w:szCs w:val="22"/>
          <w14:ligatures w14:val="standardContextual"/>
        </w:rPr>
      </w:pPr>
      <w:hyperlink w:anchor="_Toc160043543" w:history="1">
        <w:r w:rsidR="00D73787" w:rsidRPr="003C339F">
          <w:rPr>
            <w:rStyle w:val="Lienhypertexte"/>
            <w:noProof/>
          </w:rPr>
          <w:t>4.3.</w:t>
        </w:r>
        <w:r w:rsidR="00D73787" w:rsidRPr="003C339F">
          <w:rPr>
            <w:rStyle w:val="Lienhypertexte"/>
            <w:rFonts w:asciiTheme="majorHAnsi" w:hAnsiTheme="majorHAnsi"/>
            <w:noProof/>
          </w:rPr>
          <w:t xml:space="preserve"> Composition de la demande d’évaluation et du dossier justifiant de la conformité de la décision d’attribution directe aux conditions prévues par le paragraphe 4 </w:t>
        </w:r>
        <w:r w:rsidR="00D73787" w:rsidRPr="003C339F">
          <w:rPr>
            <w:rStyle w:val="Lienhypertexte"/>
            <w:rFonts w:asciiTheme="majorHAnsi" w:hAnsiTheme="majorHAnsi"/>
            <w:i/>
            <w:iCs/>
            <w:noProof/>
          </w:rPr>
          <w:t>ter</w:t>
        </w:r>
        <w:r w:rsidR="00D73787" w:rsidRPr="003C339F">
          <w:rPr>
            <w:rStyle w:val="Lienhypertexte"/>
            <w:rFonts w:asciiTheme="majorHAnsi" w:hAnsiTheme="majorHAnsi"/>
            <w:noProof/>
          </w:rPr>
          <w:t xml:space="preserve"> de l’article 5 du règlement OSP</w:t>
        </w:r>
        <w:r w:rsidR="00D73787">
          <w:rPr>
            <w:noProof/>
            <w:webHidden/>
          </w:rPr>
          <w:tab/>
        </w:r>
        <w:r w:rsidR="00D73787">
          <w:rPr>
            <w:noProof/>
            <w:webHidden/>
          </w:rPr>
          <w:fldChar w:fldCharType="begin"/>
        </w:r>
        <w:r w:rsidR="00D73787">
          <w:rPr>
            <w:noProof/>
            <w:webHidden/>
          </w:rPr>
          <w:instrText xml:space="preserve"> PAGEREF _Toc160043543 \h </w:instrText>
        </w:r>
        <w:r w:rsidR="00D73787">
          <w:rPr>
            <w:noProof/>
            <w:webHidden/>
          </w:rPr>
        </w:r>
        <w:r w:rsidR="00D73787">
          <w:rPr>
            <w:noProof/>
            <w:webHidden/>
          </w:rPr>
          <w:fldChar w:fldCharType="separate"/>
        </w:r>
        <w:r w:rsidR="00D73787">
          <w:rPr>
            <w:noProof/>
            <w:webHidden/>
          </w:rPr>
          <w:t>22</w:t>
        </w:r>
        <w:r w:rsidR="00D73787">
          <w:rPr>
            <w:noProof/>
            <w:webHidden/>
          </w:rPr>
          <w:fldChar w:fldCharType="end"/>
        </w:r>
      </w:hyperlink>
    </w:p>
    <w:p w14:paraId="565E27C0" w14:textId="4155FCB8" w:rsidR="003351AB" w:rsidRPr="00F56993" w:rsidRDefault="003351AB" w:rsidP="003351AB">
      <w:pPr>
        <w:spacing w:line="300" w:lineRule="exact"/>
        <w:ind w:right="27"/>
        <w:rPr>
          <w:rFonts w:asciiTheme="majorHAnsi" w:hAnsiTheme="majorHAnsi"/>
          <w:caps/>
          <w:color w:val="24356D" w:themeColor="text2"/>
        </w:rPr>
      </w:pPr>
      <w:r w:rsidRPr="00F56993">
        <w:rPr>
          <w:rFonts w:asciiTheme="majorHAnsi" w:hAnsiTheme="majorHAnsi"/>
          <w:caps/>
          <w:color w:val="24356D" w:themeColor="text2"/>
        </w:rPr>
        <w:fldChar w:fldCharType="end"/>
      </w:r>
    </w:p>
    <w:p w14:paraId="7527DDEB" w14:textId="77777777" w:rsidR="003351AB" w:rsidRPr="00F56993" w:rsidRDefault="003351AB" w:rsidP="003351AB">
      <w:pPr>
        <w:spacing w:line="300" w:lineRule="exact"/>
        <w:ind w:right="27"/>
        <w:rPr>
          <w:rFonts w:asciiTheme="majorHAnsi" w:hAnsiTheme="majorHAnsi"/>
          <w:caps/>
          <w:color w:val="24356D" w:themeColor="text2"/>
        </w:rPr>
      </w:pPr>
    </w:p>
    <w:p w14:paraId="1579732A" w14:textId="77777777" w:rsidR="003351AB" w:rsidRPr="00F56993" w:rsidRDefault="003351AB" w:rsidP="003351AB">
      <w:pPr>
        <w:spacing w:before="0" w:after="0" w:line="280" w:lineRule="atLeast"/>
        <w:jc w:val="left"/>
        <w:rPr>
          <w:rFonts w:asciiTheme="majorHAnsi" w:hAnsiTheme="majorHAnsi"/>
        </w:rPr>
      </w:pPr>
      <w:r w:rsidRPr="00F56993">
        <w:rPr>
          <w:rFonts w:asciiTheme="majorHAnsi" w:hAnsiTheme="majorHAnsi"/>
        </w:rPr>
        <w:br w:type="page"/>
      </w:r>
    </w:p>
    <w:p w14:paraId="65AC305D" w14:textId="77777777" w:rsidR="00EB1D16" w:rsidRPr="00F56993" w:rsidRDefault="00EB1D16" w:rsidP="00EB1D16">
      <w:pPr>
        <w:pStyle w:val="Titre1"/>
        <w:numPr>
          <w:ilvl w:val="0"/>
          <w:numId w:val="12"/>
        </w:numPr>
        <w:ind w:left="510" w:hanging="510"/>
        <w:rPr>
          <w:rFonts w:asciiTheme="majorHAnsi" w:hAnsiTheme="majorHAnsi"/>
        </w:rPr>
      </w:pPr>
      <w:bookmarkStart w:id="23" w:name="_Toc155369087"/>
      <w:bookmarkStart w:id="24" w:name="_Toc156841769"/>
      <w:bookmarkStart w:id="25" w:name="_Toc160043524"/>
      <w:bookmarkStart w:id="26" w:name="_Toc118391623"/>
      <w:r w:rsidRPr="00F56993">
        <w:rPr>
          <w:rFonts w:asciiTheme="majorHAnsi" w:hAnsiTheme="majorHAnsi"/>
        </w:rPr>
        <w:lastRenderedPageBreak/>
        <w:t>Le règlement osp pose le principe de L’attribution concurrentielle de services conventionnés de voyageurs tout en prévoyant certaines dérogations à cette obligation</w:t>
      </w:r>
      <w:bookmarkEnd w:id="23"/>
      <w:bookmarkEnd w:id="24"/>
      <w:bookmarkEnd w:id="25"/>
    </w:p>
    <w:p w14:paraId="19C83D99" w14:textId="77777777" w:rsidR="00EB1D16" w:rsidRPr="00F56993" w:rsidRDefault="00EB1D16" w:rsidP="00F56993">
      <w:pPr>
        <w:pStyle w:val="Titre2"/>
        <w:spacing w:before="360" w:after="0"/>
        <w:ind w:left="850" w:hanging="425"/>
        <w:rPr>
          <w:rFonts w:asciiTheme="majorHAnsi" w:hAnsiTheme="majorHAnsi"/>
        </w:rPr>
      </w:pPr>
      <w:bookmarkStart w:id="27" w:name="_Toc156841770"/>
      <w:bookmarkStart w:id="28" w:name="_Toc160043525"/>
      <w:bookmarkEnd w:id="26"/>
      <w:r w:rsidRPr="00F56993">
        <w:rPr>
          <w:rFonts w:asciiTheme="majorHAnsi" w:hAnsiTheme="majorHAnsi"/>
        </w:rPr>
        <w:t>Trois des six dérogations prévues à l’obligation d’attribution concurrentielle sont soumises au contrôle de l’Autorité</w:t>
      </w:r>
      <w:bookmarkEnd w:id="27"/>
      <w:bookmarkEnd w:id="28"/>
    </w:p>
    <w:p w14:paraId="31EFD9F2"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Le règlement OSP pose le principe de l’attribution concurrentielle des contrats de service public de transport de voyageurs par chemin de fer à compter du 25 décembre 2023, terme de la période transitoire allant du 3 décembre 2019 au 24 décembre 2023 au cours de laquelle l’attribution concurrentielle de ces contrats était une faculté des autorités organisatrices de transport</w:t>
      </w:r>
      <w:r w:rsidRPr="00F56993">
        <w:rPr>
          <w:rStyle w:val="Appelnotedebasdep"/>
          <w:rFonts w:asciiTheme="majorHAnsi" w:hAnsiTheme="majorHAnsi"/>
        </w:rPr>
        <w:footnoteReference w:id="9"/>
      </w:r>
      <w:r w:rsidRPr="00F56993">
        <w:rPr>
          <w:rFonts w:asciiTheme="majorHAnsi" w:hAnsiTheme="majorHAnsi"/>
        </w:rPr>
        <w:t xml:space="preserve"> (« AOT »).</w:t>
      </w:r>
      <w:r w:rsidRPr="00F56993" w:rsidDel="00762532">
        <w:rPr>
          <w:rFonts w:asciiTheme="majorHAnsi" w:hAnsiTheme="majorHAnsi"/>
        </w:rPr>
        <w:t xml:space="preserve"> </w:t>
      </w:r>
    </w:p>
    <w:p w14:paraId="5988D7B4"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L’article 5 du règlement OSP prévoit toutefois six dérogations permettant leur attribution directe :</w:t>
      </w:r>
    </w:p>
    <w:p w14:paraId="71C7F678"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en</w:t>
      </w:r>
      <w:proofErr w:type="gramEnd"/>
      <w:r w:rsidRPr="00F56993">
        <w:rPr>
          <w:rFonts w:asciiTheme="majorHAnsi" w:hAnsiTheme="majorHAnsi"/>
        </w:rPr>
        <w:t xml:space="preserve"> cas d’exploitation du service par l’AOT ou par une entité sur laquelle l’AOT exerce un contrôle analogue à celui qu’elle exerce sur ses propres services (régie ou régime « </w:t>
      </w:r>
      <w:r w:rsidRPr="00F56993">
        <w:rPr>
          <w:rFonts w:asciiTheme="majorHAnsi" w:hAnsiTheme="majorHAnsi"/>
          <w:i/>
          <w:iCs/>
        </w:rPr>
        <w:t>in house</w:t>
      </w:r>
      <w:r w:rsidRPr="00F56993">
        <w:rPr>
          <w:rFonts w:asciiTheme="majorHAnsi" w:hAnsiTheme="majorHAnsi"/>
        </w:rPr>
        <w:t> »)(art 5 § 2) ;</w:t>
      </w:r>
    </w:p>
    <w:p w14:paraId="1F4750E2"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en</w:t>
      </w:r>
      <w:proofErr w:type="gramEnd"/>
      <w:r w:rsidRPr="00F56993">
        <w:rPr>
          <w:rFonts w:asciiTheme="majorHAnsi" w:hAnsiTheme="majorHAnsi"/>
        </w:rPr>
        <w:t xml:space="preserve"> cas de circonstances exceptionnelles notamment lorsque plusieurs procédures de mise en concurrence sont en cours et pourraient affecter le nombre et la qualité des offres, ou si des modifications du champ d’application d’un contrat de service public sont nécessaires pour optimiser l’offre de services publics (art. 5 § 3 </w:t>
      </w:r>
      <w:r w:rsidRPr="00F56993">
        <w:rPr>
          <w:rFonts w:asciiTheme="majorHAnsi" w:hAnsiTheme="majorHAnsi"/>
          <w:i/>
          <w:iCs/>
        </w:rPr>
        <w:t>bis</w:t>
      </w:r>
      <w:r w:rsidRPr="00F56993">
        <w:rPr>
          <w:rFonts w:asciiTheme="majorHAnsi" w:hAnsiTheme="majorHAnsi"/>
        </w:rPr>
        <w:t xml:space="preserve">) ; </w:t>
      </w:r>
    </w:p>
    <w:p w14:paraId="0DF6A82D"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lorsque</w:t>
      </w:r>
      <w:proofErr w:type="gramEnd"/>
      <w:r w:rsidRPr="00F56993">
        <w:rPr>
          <w:rFonts w:asciiTheme="majorHAnsi" w:hAnsiTheme="majorHAnsi"/>
        </w:rPr>
        <w:t xml:space="preserve"> la valeur du contrat ou la longueur des services en cause est inférieure à certains seuils(art. 5 § 4) ; </w:t>
      </w:r>
    </w:p>
    <w:p w14:paraId="4A9E710E"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lorsque</w:t>
      </w:r>
      <w:proofErr w:type="gramEnd"/>
      <w:r w:rsidRPr="00F56993">
        <w:rPr>
          <w:rFonts w:asciiTheme="majorHAnsi" w:hAnsiTheme="majorHAnsi"/>
        </w:rPr>
        <w:t xml:space="preserve"> l’attribution directe (i) est justifiée par les caractéristiques structurelles et géographiques pertinentes du marché et du réseau concernés et (ii) a pour effet d’améliorer la qualité des services ou le rapport coût-efficacité ou les deux par rapport au précédent contrat de service public(art. 5 § 4 bis) ;</w:t>
      </w:r>
    </w:p>
    <w:p w14:paraId="3B641475"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lorsque</w:t>
      </w:r>
      <w:proofErr w:type="gramEnd"/>
      <w:r w:rsidRPr="00F56993">
        <w:rPr>
          <w:rFonts w:asciiTheme="majorHAnsi" w:hAnsiTheme="majorHAnsi"/>
        </w:rPr>
        <w:t xml:space="preserve"> le contrat porte uniquement sur des services de transport ferroviaire de voyageurs assurés par une entreprise ferroviaire qui est également le gestionnaire de la totalité ou de la majeure partie de l’infrastructure sur laquelle les services sont fournis (art. 5 § 4 </w:t>
      </w:r>
      <w:r w:rsidRPr="00F56993">
        <w:rPr>
          <w:rFonts w:asciiTheme="majorHAnsi" w:hAnsiTheme="majorHAnsi"/>
          <w:i/>
          <w:iCs/>
        </w:rPr>
        <w:t>ter</w:t>
      </w:r>
      <w:r w:rsidRPr="00F56993">
        <w:rPr>
          <w:rFonts w:asciiTheme="majorHAnsi" w:hAnsiTheme="majorHAnsi"/>
        </w:rPr>
        <w:t>) ;</w:t>
      </w:r>
    </w:p>
    <w:p w14:paraId="09719556"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en</w:t>
      </w:r>
      <w:proofErr w:type="gramEnd"/>
      <w:r w:rsidRPr="00F56993">
        <w:rPr>
          <w:rFonts w:asciiTheme="majorHAnsi" w:hAnsiTheme="majorHAnsi"/>
        </w:rPr>
        <w:t xml:space="preserve"> cas d’urgence liée à l'interruption des services ou au risque imminent d'apparition d'une telle situation (art. 5 § 5).</w:t>
      </w:r>
    </w:p>
    <w:p w14:paraId="657ACCFF" w14:textId="77777777" w:rsidR="00EB1D16" w:rsidRPr="00F56993" w:rsidRDefault="00EB1D16" w:rsidP="00EB1D16">
      <w:pPr>
        <w:ind w:left="284"/>
        <w:rPr>
          <w:rFonts w:asciiTheme="majorHAnsi" w:hAnsiTheme="majorHAnsi"/>
        </w:rPr>
      </w:pPr>
      <w:r w:rsidRPr="00F56993">
        <w:rPr>
          <w:rFonts w:asciiTheme="majorHAnsi" w:hAnsiTheme="majorHAnsi"/>
        </w:rPr>
        <w:t>Les conditions de recours à ces dérogations ont été précisées par les lignes directrices de la Commission européenne du 26 juin 2023 susvisées.</w:t>
      </w:r>
    </w:p>
    <w:p w14:paraId="33173ACA" w14:textId="77777777" w:rsidR="00EB1D16" w:rsidRPr="00F56993" w:rsidRDefault="00EB1D16" w:rsidP="00EB1D16">
      <w:pPr>
        <w:spacing w:before="0" w:after="0" w:line="280" w:lineRule="atLeast"/>
        <w:jc w:val="left"/>
        <w:rPr>
          <w:rFonts w:asciiTheme="majorHAnsi" w:hAnsiTheme="majorHAnsi"/>
        </w:rPr>
      </w:pPr>
      <w:r w:rsidRPr="00F56993">
        <w:rPr>
          <w:rFonts w:asciiTheme="majorHAnsi" w:hAnsiTheme="majorHAnsi"/>
        </w:rPr>
        <w:br w:type="page"/>
      </w:r>
    </w:p>
    <w:p w14:paraId="1D371D4B" w14:textId="0BA78481"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b/>
          <w:bCs/>
        </w:rPr>
        <w:lastRenderedPageBreak/>
        <w:t>Trois de ces dérogations sont mises en œuvre sous le contrôle de l’Autorité</w:t>
      </w:r>
      <w:r w:rsidRPr="00F56993">
        <w:rPr>
          <w:rFonts w:asciiTheme="majorHAnsi" w:hAnsiTheme="majorHAnsi"/>
        </w:rPr>
        <w:t>. En effet, l’article L. 2121-17 du code des transports soumet à l’avis conforme de l’Autorité la décision d’attribution directe d’un contrat par une AOT sur le fondement des dérogations relatives (i</w:t>
      </w:r>
      <w:r w:rsidR="00D73787" w:rsidRPr="00F56993">
        <w:rPr>
          <w:rFonts w:asciiTheme="majorHAnsi" w:hAnsiTheme="majorHAnsi"/>
        </w:rPr>
        <w:t>)</w:t>
      </w:r>
      <w:r w:rsidR="00D73787">
        <w:rPr>
          <w:rFonts w:asciiTheme="majorHAnsi" w:hAnsiTheme="majorHAnsi"/>
        </w:rPr>
        <w:t> </w:t>
      </w:r>
      <w:r w:rsidRPr="00F56993">
        <w:rPr>
          <w:rFonts w:asciiTheme="majorHAnsi" w:hAnsiTheme="majorHAnsi"/>
        </w:rPr>
        <w:t>aux circonstances exceptionnelles et (ii) aux caractéristiques structurelles et géographiques. En outre, (iii) la décision préalable d’une AOT relative à l’attribution directe d’un contrat au motif que l’entreprise ferroviaire est le gestionnaire de la majeure partie de l’infrastructure sur laquelle les services sont fournis, peut faire l’objet d’une demande d’évaluation par toute personne à qui la décision est susceptible de faire grief auprès de l’Autorité qui, dans ce cas, émet un avis simple.</w:t>
      </w:r>
    </w:p>
    <w:p w14:paraId="666B8BC7"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 xml:space="preserve">Conformément à l’article 4 du décret du 15 juin 2020 susvisé, l’Autorité doit (i) fixer le contenu de la demande d'évaluation et du dossier justifiant la conformité de la décision préalable de l’autorité organisatrice compétente avec les conditions prévues par le paragraphe 4 </w:t>
      </w:r>
      <w:r w:rsidRPr="00F56993">
        <w:rPr>
          <w:rFonts w:asciiTheme="majorHAnsi" w:hAnsiTheme="majorHAnsi"/>
          <w:i/>
          <w:iCs/>
        </w:rPr>
        <w:t>ter</w:t>
      </w:r>
      <w:r w:rsidRPr="00F56993">
        <w:rPr>
          <w:rFonts w:asciiTheme="majorHAnsi" w:hAnsiTheme="majorHAnsi"/>
        </w:rPr>
        <w:t xml:space="preserve"> de l'article 5 du règlement OSP susvisé, ainsi que le contenu du dossier justifiant la conformité du projet de décision de l’autorité organisatrice compétente avec les conditions prévues par le paragraphe 3 bis ou 4 bis de l'article 5 du même règlement et (ii) établir et publier la méthode sur laquelle elle se fonde pour rendre ces avis et apprécier la conformité du projet de décision d’attribution directe avec les conditions prévues par le règlement OSP.</w:t>
      </w:r>
    </w:p>
    <w:p w14:paraId="46DE40B6"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Conformément à ces dispositions, les présentes lignes directrices visent à préciser le cadre d’analyse de l’Autorité lorsqu’elle est saisie de dérogations à l’obligation d’attribution concurrentielle de contrats de service public.</w:t>
      </w:r>
    </w:p>
    <w:p w14:paraId="576563C7"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Leur élaboration s’est inscrite dans le respect des valeurs de transparence et de dialogue de l’Autorité : une consultation publique a tout d’abord été menée d</w:t>
      </w:r>
      <w:r w:rsidRPr="00F56993">
        <w:rPr>
          <w:rFonts w:asciiTheme="majorHAnsi" w:eastAsia="Franklin Gothic Book" w:hAnsiTheme="majorHAnsi"/>
        </w:rPr>
        <w:t>u 20 octobre 2023 au 20 novembre 2023, dans le cadre de laquelle huit réponses ont été reçues. Elles fournissent</w:t>
      </w:r>
      <w:r w:rsidRPr="00F56993">
        <w:rPr>
          <w:rFonts w:asciiTheme="majorHAnsi" w:hAnsiTheme="majorHAnsi"/>
          <w:color w:val="3A3A3A"/>
          <w:sz w:val="22"/>
          <w:szCs w:val="22"/>
          <w:shd w:val="clear" w:color="auto" w:fill="FFFFFF"/>
        </w:rPr>
        <w:t xml:space="preserve"> </w:t>
      </w:r>
      <w:r w:rsidRPr="00F56993">
        <w:rPr>
          <w:rFonts w:asciiTheme="majorHAnsi" w:eastAsia="Franklin Gothic Book" w:hAnsiTheme="majorHAnsi"/>
        </w:rPr>
        <w:t>un éclairage important sur les critères et méthodes à prendre en compte dans l’appréciation des demandes de dérogation soumises à l’Autorité. Un parangonnage a par ailleurs été réalisé auprès d’autres régulateurs européens dans le secteur des transports. Enfin, des échanges bilatéraux ont été proposés à l’ensemble des AOT et ont été organisés avec cinq d’entre elles.</w:t>
      </w:r>
      <w:bookmarkStart w:id="29" w:name="_Toc155369089"/>
    </w:p>
    <w:p w14:paraId="67B1A514" w14:textId="77777777" w:rsidR="00EB1D16" w:rsidRPr="00F56993" w:rsidRDefault="00EB1D16" w:rsidP="00F56993">
      <w:pPr>
        <w:pStyle w:val="Titre2"/>
        <w:spacing w:before="360" w:after="0"/>
        <w:ind w:left="850" w:hanging="425"/>
        <w:rPr>
          <w:rFonts w:asciiTheme="majorHAnsi" w:hAnsiTheme="majorHAnsi"/>
        </w:rPr>
      </w:pPr>
      <w:bookmarkStart w:id="30" w:name="_Toc156542084"/>
      <w:bookmarkStart w:id="31" w:name="_Toc156542085"/>
      <w:bookmarkStart w:id="32" w:name="_Toc156542086"/>
      <w:bookmarkStart w:id="33" w:name="_Toc156542087"/>
      <w:bookmarkStart w:id="34" w:name="_Toc156542088"/>
      <w:bookmarkStart w:id="35" w:name="_Toc156542089"/>
      <w:bookmarkStart w:id="36" w:name="_Toc156542090"/>
      <w:bookmarkStart w:id="37" w:name="_Toc156542091"/>
      <w:bookmarkStart w:id="38" w:name="_Toc156542092"/>
      <w:bookmarkStart w:id="39" w:name="_Toc156542093"/>
      <w:bookmarkStart w:id="40" w:name="_Toc156542094"/>
      <w:bookmarkStart w:id="41" w:name="_Toc156542095"/>
      <w:bookmarkStart w:id="42" w:name="_Toc156542096"/>
      <w:bookmarkStart w:id="43" w:name="_Toc156542097"/>
      <w:bookmarkStart w:id="44" w:name="_Toc156542098"/>
      <w:bookmarkStart w:id="45" w:name="_Toc156542099"/>
      <w:bookmarkStart w:id="46" w:name="_Toc156542100"/>
      <w:bookmarkStart w:id="47" w:name="_Toc156542101"/>
      <w:bookmarkStart w:id="48" w:name="_Toc156542102"/>
      <w:bookmarkStart w:id="49" w:name="_Toc156542103"/>
      <w:bookmarkStart w:id="50" w:name="_Toc156542104"/>
      <w:bookmarkStart w:id="51" w:name="_Toc156542105"/>
      <w:bookmarkStart w:id="52" w:name="_Toc155968021"/>
      <w:bookmarkStart w:id="53" w:name="_Toc156841771"/>
      <w:bookmarkStart w:id="54" w:name="_Toc16004352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56993">
        <w:rPr>
          <w:rFonts w:asciiTheme="majorHAnsi" w:hAnsiTheme="majorHAnsi"/>
        </w:rPr>
        <w:t>Saisie de demandes de dérogations, l’Autorité a pour rôle de veiller au respect des conditions prévues par le règlement OSP et à l’atteinte de ses objectifs</w:t>
      </w:r>
      <w:bookmarkEnd w:id="53"/>
      <w:bookmarkEnd w:id="54"/>
    </w:p>
    <w:p w14:paraId="2516DDAA" w14:textId="77777777" w:rsidR="00EB1D16" w:rsidRPr="00F56993" w:rsidRDefault="00EB1D16" w:rsidP="00EB1D16">
      <w:pPr>
        <w:pStyle w:val="Paragraphenumrot"/>
        <w:spacing w:before="240" w:after="240"/>
        <w:ind w:left="284" w:hanging="360"/>
        <w:rPr>
          <w:rStyle w:val="cf01"/>
          <w:rFonts w:asciiTheme="majorHAnsi" w:eastAsiaTheme="majorEastAsia" w:hAnsiTheme="majorHAnsi"/>
          <w:b/>
          <w:bCs/>
          <w:color w:val="24356D"/>
          <w:sz w:val="21"/>
          <w:szCs w:val="21"/>
        </w:rPr>
      </w:pPr>
      <w:r w:rsidRPr="00F56993">
        <w:rPr>
          <w:rStyle w:val="cf01"/>
          <w:rFonts w:asciiTheme="majorHAnsi" w:hAnsiTheme="majorHAnsi"/>
          <w:sz w:val="21"/>
          <w:szCs w:val="21"/>
        </w:rPr>
        <w:t>Selon les dispositions de l’article L. 2131-1 du code des transports</w:t>
      </w:r>
      <w:r w:rsidRPr="00F56993">
        <w:rPr>
          <w:rStyle w:val="Appelnotedebasdep"/>
          <w:rFonts w:asciiTheme="majorHAnsi" w:hAnsiTheme="majorHAnsi" w:cs="Segoe UI"/>
        </w:rPr>
        <w:footnoteReference w:id="10"/>
      </w:r>
      <w:r w:rsidRPr="00F56993">
        <w:rPr>
          <w:rStyle w:val="cf01"/>
          <w:rFonts w:asciiTheme="majorHAnsi" w:hAnsiTheme="majorHAnsi"/>
          <w:sz w:val="21"/>
          <w:szCs w:val="21"/>
        </w:rPr>
        <w:t>, l'Autorité veille au bon fonctionnement du système de transport ferroviaire, auquel participe l’ouverture à la concurrence des services conventionnés.</w:t>
      </w:r>
    </w:p>
    <w:p w14:paraId="79427DB9" w14:textId="1F892840" w:rsidR="00BA7545"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 xml:space="preserve">Dans ce contexte et conformément aux lignes directrices du 26 juin 2023 susvisées, l’Autorité veillera à ce que le recours à des dérogations reste exceptionnel et conditionné à l’existence de circonstances objectives, extérieures à la volonté des AOT, en particulier si devaient être invoquées les circonstances exceptionnelles visées à l’article 5 § 3 </w:t>
      </w:r>
      <w:r w:rsidRPr="00F56993">
        <w:rPr>
          <w:rFonts w:asciiTheme="majorHAnsi" w:hAnsiTheme="majorHAnsi"/>
          <w:i/>
          <w:iCs/>
        </w:rPr>
        <w:t>bis</w:t>
      </w:r>
      <w:r w:rsidRPr="00F56993">
        <w:rPr>
          <w:rFonts w:asciiTheme="majorHAnsi" w:hAnsiTheme="majorHAnsi"/>
        </w:rPr>
        <w:t xml:space="preserve"> du règlement du 23 octobre 2007 susvisé. Il convient en effet de rappeler qu’en application du principe général « </w:t>
      </w:r>
      <w:proofErr w:type="spellStart"/>
      <w:r w:rsidRPr="00F56993">
        <w:rPr>
          <w:rFonts w:asciiTheme="majorHAnsi" w:hAnsiTheme="majorHAnsi"/>
          <w:i/>
        </w:rPr>
        <w:t>nemo</w:t>
      </w:r>
      <w:proofErr w:type="spellEnd"/>
      <w:r w:rsidRPr="00F56993">
        <w:rPr>
          <w:rFonts w:asciiTheme="majorHAnsi" w:hAnsiTheme="majorHAnsi"/>
          <w:i/>
        </w:rPr>
        <w:t xml:space="preserve"> auditur</w:t>
      </w:r>
      <w:r w:rsidRPr="00F56993">
        <w:rPr>
          <w:rFonts w:asciiTheme="majorHAnsi" w:hAnsiTheme="majorHAnsi"/>
        </w:rPr>
        <w:t> »</w:t>
      </w:r>
      <w:r w:rsidRPr="00F56993">
        <w:rPr>
          <w:rStyle w:val="Appelnotedebasdep"/>
          <w:rFonts w:asciiTheme="majorHAnsi" w:hAnsiTheme="majorHAnsi"/>
        </w:rPr>
        <w:footnoteReference w:id="11"/>
      </w:r>
      <w:r w:rsidRPr="00F56993">
        <w:rPr>
          <w:rFonts w:asciiTheme="majorHAnsi" w:hAnsiTheme="majorHAnsi"/>
        </w:rPr>
        <w:t>, le saisissant ne saurait invoquer sa propre carence (retard dans l’organisation ou la mise en œuvre des procédures de mise en concurrence, inexpérience etc.) pour justifier le recours à une dérogation.</w:t>
      </w:r>
    </w:p>
    <w:p w14:paraId="6BD9DF03" w14:textId="77777777" w:rsidR="00BA7545" w:rsidRPr="00F56993" w:rsidRDefault="00BA7545">
      <w:pPr>
        <w:spacing w:before="0" w:after="0" w:line="280" w:lineRule="atLeast"/>
        <w:jc w:val="left"/>
        <w:rPr>
          <w:rFonts w:asciiTheme="majorHAnsi" w:hAnsiTheme="majorHAnsi"/>
          <w:szCs w:val="21"/>
        </w:rPr>
      </w:pPr>
      <w:r w:rsidRPr="00F56993">
        <w:rPr>
          <w:rFonts w:asciiTheme="majorHAnsi" w:hAnsiTheme="majorHAnsi"/>
        </w:rPr>
        <w:br w:type="page"/>
      </w:r>
    </w:p>
    <w:p w14:paraId="791533C9" w14:textId="0626A470" w:rsidR="00DD3D4A" w:rsidRPr="000F0981" w:rsidRDefault="00DD3D4A" w:rsidP="00F56993">
      <w:pPr>
        <w:pStyle w:val="Paragraphenumrot"/>
        <w:spacing w:before="240" w:after="240"/>
        <w:ind w:left="284" w:hanging="360"/>
      </w:pPr>
      <w:bookmarkStart w:id="55" w:name="_Toc156841772"/>
      <w:bookmarkStart w:id="56" w:name="_Toc160043527"/>
      <w:r>
        <w:lastRenderedPageBreak/>
        <w:t>L</w:t>
      </w:r>
      <w:r w:rsidRPr="00317CA7">
        <w:t>’Autorité adoptera</w:t>
      </w:r>
      <w:r>
        <w:t xml:space="preserve">, lors de l’examen des demandes de dérogation, </w:t>
      </w:r>
      <w:r w:rsidRPr="00317CA7">
        <w:t>une approche pragmatique et constructive</w:t>
      </w:r>
      <w:r w:rsidRPr="000F0981">
        <w:t> :</w:t>
      </w:r>
    </w:p>
    <w:p w14:paraId="3D7099EF" w14:textId="68E87503" w:rsidR="00DD3D4A" w:rsidRPr="000F0981" w:rsidRDefault="00DD3D4A" w:rsidP="00DD3D4A">
      <w:pPr>
        <w:pStyle w:val="Listeavectirets"/>
        <w:numPr>
          <w:ilvl w:val="0"/>
          <w:numId w:val="11"/>
        </w:numPr>
        <w:spacing w:before="240" w:after="240"/>
      </w:pPr>
      <w:proofErr w:type="gramStart"/>
      <w:r>
        <w:t>l</w:t>
      </w:r>
      <w:r w:rsidRPr="00317CA7">
        <w:t>'Autorité</w:t>
      </w:r>
      <w:proofErr w:type="gramEnd"/>
      <w:r w:rsidRPr="00317CA7">
        <w:t xml:space="preserve"> veillera au respect des principes</w:t>
      </w:r>
      <w:r>
        <w:t>,</w:t>
      </w:r>
      <w:r w:rsidRPr="00317CA7">
        <w:t xml:space="preserve"> conditions</w:t>
      </w:r>
      <w:r>
        <w:t xml:space="preserve"> et objectifs</w:t>
      </w:r>
      <w:r w:rsidRPr="00317CA7">
        <w:t xml:space="preserve"> fixés par le </w:t>
      </w:r>
      <w:r>
        <w:t xml:space="preserve">règlement </w:t>
      </w:r>
      <w:r w:rsidRPr="00317CA7">
        <w:t>OSP</w:t>
      </w:r>
      <w:r>
        <w:t>,</w:t>
      </w:r>
      <w:r w:rsidRPr="00317CA7">
        <w:t xml:space="preserve"> </w:t>
      </w:r>
      <w:r>
        <w:t xml:space="preserve">les conditions de recours aux dérogations prévues par ce dernier étant </w:t>
      </w:r>
      <w:r w:rsidRPr="00D80E81">
        <w:t>d’</w:t>
      </w:r>
      <w:r w:rsidRPr="00317CA7">
        <w:t xml:space="preserve">interprétation stricte </w:t>
      </w:r>
      <w:r>
        <w:t>;</w:t>
      </w:r>
      <w:r w:rsidRPr="00317CA7">
        <w:t xml:space="preserve"> </w:t>
      </w:r>
    </w:p>
    <w:p w14:paraId="23CE3FAA" w14:textId="210FAA95" w:rsidR="00DD3D4A" w:rsidRDefault="00DD3D4A" w:rsidP="00DD3D4A">
      <w:pPr>
        <w:pStyle w:val="Listeavectirets"/>
        <w:numPr>
          <w:ilvl w:val="0"/>
          <w:numId w:val="11"/>
        </w:numPr>
        <w:spacing w:before="240" w:after="240"/>
      </w:pPr>
      <w:proofErr w:type="gramStart"/>
      <w:r>
        <w:t>l</w:t>
      </w:r>
      <w:r w:rsidRPr="000F0981">
        <w:t>’Autorité</w:t>
      </w:r>
      <w:proofErr w:type="gramEnd"/>
      <w:r w:rsidRPr="00317CA7">
        <w:t xml:space="preserve"> pourra interpréter </w:t>
      </w:r>
      <w:r>
        <w:t>l</w:t>
      </w:r>
      <w:r w:rsidRPr="00317CA7">
        <w:t xml:space="preserve">es dispositions </w:t>
      </w:r>
      <w:r>
        <w:t xml:space="preserve">relatives au contenu des dérogations </w:t>
      </w:r>
      <w:r w:rsidRPr="00317CA7">
        <w:t>au regard de la finalité et des obj</w:t>
      </w:r>
      <w:r w:rsidRPr="000F0981">
        <w:t>ectifs</w:t>
      </w:r>
      <w:r w:rsidRPr="00317CA7">
        <w:t xml:space="preserve"> du règlement</w:t>
      </w:r>
      <w:r>
        <w:t>, notamment de l’objectif de l’ouverture échelonnée des services conventionnés à la concurrence</w:t>
      </w:r>
      <w:r w:rsidRPr="000F0981">
        <w:t xml:space="preserve">. </w:t>
      </w:r>
      <w:r>
        <w:t>À</w:t>
      </w:r>
      <w:r w:rsidRPr="000F0981">
        <w:t xml:space="preserve"> </w:t>
      </w:r>
      <w:r w:rsidRPr="00317CA7">
        <w:t>cet égard</w:t>
      </w:r>
      <w:r w:rsidRPr="000F0981">
        <w:t>, elle</w:t>
      </w:r>
      <w:r w:rsidRPr="00317CA7">
        <w:t xml:space="preserve"> pourra prendre en compte les démarches effectivement engagées par les AOT saisissantes pour </w:t>
      </w:r>
      <w:r>
        <w:t xml:space="preserve">se mettre en mesure d’ouvrir </w:t>
      </w:r>
      <w:r w:rsidRPr="00317CA7">
        <w:t>à la concurrence l'ensemble de leurs lots à l'échéance de leurs conventions</w:t>
      </w:r>
      <w:r>
        <w:t> ;</w:t>
      </w:r>
    </w:p>
    <w:p w14:paraId="3A6D2E6E" w14:textId="710FDFDB" w:rsidR="00DD3D4A" w:rsidRPr="000F0981" w:rsidRDefault="00DD3D4A" w:rsidP="00DD3D4A">
      <w:pPr>
        <w:pStyle w:val="Listeavectirets"/>
        <w:numPr>
          <w:ilvl w:val="0"/>
          <w:numId w:val="11"/>
        </w:numPr>
        <w:spacing w:before="240" w:after="240"/>
      </w:pPr>
      <w:proofErr w:type="gramStart"/>
      <w:r>
        <w:t>le</w:t>
      </w:r>
      <w:proofErr w:type="gramEnd"/>
      <w:r>
        <w:t xml:space="preserve"> recours à chaque dérogation devra faire l’objet de justifications étayées de la part des AOT, qui devront démontrer que les conditions posées par le règlement OSP sont satisfaites. L’Autorité se prononcera sur la base des justifications qui lui seront apportées par l’AOT saisissante en prenant en considération le caractère particulier de chaque situation.</w:t>
      </w:r>
    </w:p>
    <w:p w14:paraId="099B0B5B" w14:textId="1D666DA1" w:rsidR="00DD3D4A" w:rsidRPr="002315B8" w:rsidRDefault="00DD3D4A" w:rsidP="00F56993">
      <w:pPr>
        <w:pStyle w:val="Paragraphenumrot"/>
        <w:spacing w:before="240" w:after="240"/>
        <w:ind w:left="426" w:hanging="360"/>
      </w:pPr>
      <w:r>
        <w:t>Le</w:t>
      </w:r>
      <w:r w:rsidRPr="002315B8">
        <w:t>s</w:t>
      </w:r>
      <w:r>
        <w:t xml:space="preserve"> lignes directrices pourront être révisées ultérieurement </w:t>
      </w:r>
      <w:r w:rsidRPr="002315B8">
        <w:t xml:space="preserve">pour </w:t>
      </w:r>
      <w:r>
        <w:t>tenir compte</w:t>
      </w:r>
      <w:r w:rsidRPr="002315B8">
        <w:t xml:space="preserve"> </w:t>
      </w:r>
      <w:r>
        <w:t>de</w:t>
      </w:r>
      <w:r w:rsidRPr="002315B8">
        <w:t xml:space="preserve"> l’évolution de l</w:t>
      </w:r>
      <w:r>
        <w:t>’ouverture à la concurrence des services conventionnés.</w:t>
      </w:r>
    </w:p>
    <w:p w14:paraId="61EA1249" w14:textId="77777777" w:rsidR="00EB1D16" w:rsidRPr="00D33278" w:rsidRDefault="00EB1D16" w:rsidP="00D33278">
      <w:pPr>
        <w:pStyle w:val="Titre1"/>
        <w:numPr>
          <w:ilvl w:val="0"/>
          <w:numId w:val="17"/>
        </w:numPr>
        <w:spacing w:before="360"/>
        <w:rPr>
          <w:rFonts w:asciiTheme="majorHAnsi" w:hAnsiTheme="majorHAnsi"/>
        </w:rPr>
      </w:pPr>
      <w:r w:rsidRPr="00D33278">
        <w:rPr>
          <w:rFonts w:asciiTheme="majorHAnsi" w:hAnsiTheme="majorHAnsi"/>
        </w:rPr>
        <w:t>L’Autorité émet un avis conforme sur les demandes de Dérogation liées à l’existence de « circonstances exceptionnelles »</w:t>
      </w:r>
      <w:bookmarkEnd w:id="55"/>
      <w:bookmarkEnd w:id="56"/>
    </w:p>
    <w:p w14:paraId="6BCC7673" w14:textId="77777777" w:rsidR="00EB1D16" w:rsidRPr="00F56993" w:rsidRDefault="00EB1D16" w:rsidP="00F56993">
      <w:pPr>
        <w:pStyle w:val="Titre2"/>
        <w:spacing w:before="360" w:after="240" w:line="240" w:lineRule="auto"/>
        <w:ind w:left="850" w:hanging="425"/>
        <w:rPr>
          <w:rFonts w:asciiTheme="majorHAnsi" w:hAnsiTheme="majorHAnsi"/>
        </w:rPr>
      </w:pPr>
      <w:bookmarkStart w:id="57" w:name="_Toc156841773"/>
      <w:bookmarkStart w:id="58" w:name="_Toc160043528"/>
      <w:r w:rsidRPr="00F56993">
        <w:rPr>
          <w:rFonts w:asciiTheme="majorHAnsi" w:hAnsiTheme="majorHAnsi"/>
        </w:rPr>
        <w:t>Le règlement OSP prévoit deux cas de figure non exhaustifs de circonstances exceptionnelles et encadre le recours à cette dérogation dans le temps</w:t>
      </w:r>
      <w:bookmarkEnd w:id="57"/>
      <w:bookmarkEnd w:id="58"/>
    </w:p>
    <w:p w14:paraId="0F54E970" w14:textId="7859EADE" w:rsidR="00BA7545" w:rsidRPr="00F56993" w:rsidRDefault="00EB1D16" w:rsidP="00F56993">
      <w:pPr>
        <w:pStyle w:val="Paragraphenumrot"/>
        <w:spacing w:before="0" w:after="0"/>
        <w:ind w:left="284" w:hanging="360"/>
        <w:rPr>
          <w:rFonts w:asciiTheme="majorHAnsi" w:hAnsiTheme="majorHAnsi"/>
        </w:rPr>
      </w:pPr>
      <w:r w:rsidRPr="00F56993">
        <w:rPr>
          <w:rFonts w:asciiTheme="majorHAnsi" w:hAnsiTheme="majorHAnsi"/>
        </w:rPr>
        <w:t xml:space="preserve">L’article 5, paragraphe 3 </w:t>
      </w:r>
      <w:r w:rsidRPr="00F56993">
        <w:rPr>
          <w:rFonts w:asciiTheme="majorHAnsi" w:hAnsiTheme="majorHAnsi"/>
          <w:i/>
          <w:iCs/>
        </w:rPr>
        <w:t>bis</w:t>
      </w:r>
      <w:r w:rsidRPr="00F56993">
        <w:rPr>
          <w:rFonts w:asciiTheme="majorHAnsi" w:hAnsiTheme="majorHAnsi"/>
        </w:rPr>
        <w:t>, du règlement OSP prévoit que : « [s]</w:t>
      </w:r>
      <w:proofErr w:type="spellStart"/>
      <w:r w:rsidRPr="00F56993">
        <w:rPr>
          <w:rFonts w:asciiTheme="majorHAnsi" w:hAnsiTheme="majorHAnsi"/>
          <w:i/>
          <w:iCs/>
        </w:rPr>
        <w:t>auf</w:t>
      </w:r>
      <w:proofErr w:type="spellEnd"/>
      <w:r w:rsidRPr="00F56993">
        <w:rPr>
          <w:rFonts w:asciiTheme="majorHAnsi" w:hAnsiTheme="majorHAnsi"/>
          <w:i/>
          <w:iCs/>
        </w:rPr>
        <w:t xml:space="preserve"> interdiction en vertu du droit national, pour les contrats de service public relatifs à des services publics de transport de voyageurs par chemin de fer attribués dans le cadre d'une procédure de mise en concurrence, l'autorité compétente peut, pour une période de temps limitée, décider d'attribuer directement de nouveaux contrats lorsqu'elle considère que l'attribution directe est justifiée par des circonstances exceptionnelles</w:t>
      </w:r>
      <w:r w:rsidRPr="00F56993">
        <w:rPr>
          <w:rFonts w:asciiTheme="majorHAnsi" w:hAnsiTheme="majorHAnsi"/>
        </w:rPr>
        <w:t> ».</w:t>
      </w:r>
    </w:p>
    <w:p w14:paraId="478C2D87" w14:textId="77777777" w:rsidR="00EB1D16" w:rsidRPr="00F56993" w:rsidRDefault="00EB1D16" w:rsidP="00D73787">
      <w:pPr>
        <w:pStyle w:val="Paragraphenumrot"/>
        <w:spacing w:before="240" w:after="240"/>
        <w:ind w:left="284" w:hanging="360"/>
        <w:rPr>
          <w:rFonts w:asciiTheme="majorHAnsi" w:hAnsiTheme="majorHAnsi"/>
        </w:rPr>
      </w:pPr>
      <w:r w:rsidRPr="00F56993">
        <w:rPr>
          <w:rFonts w:asciiTheme="majorHAnsi" w:hAnsiTheme="majorHAnsi"/>
        </w:rPr>
        <w:t>Cet article prévoit deux cas de figure non limitatifs de circonstances exceptionnelles</w:t>
      </w:r>
      <w:r w:rsidRPr="00320B87">
        <w:rPr>
          <w:rFonts w:ascii="Times New Roman" w:hAnsi="Times New Roman"/>
        </w:rPr>
        <w:t> </w:t>
      </w:r>
      <w:r w:rsidRPr="00F56993">
        <w:rPr>
          <w:rFonts w:asciiTheme="majorHAnsi" w:hAnsiTheme="majorHAnsi"/>
        </w:rPr>
        <w:t>:</w:t>
      </w:r>
    </w:p>
    <w:p w14:paraId="67BB6497" w14:textId="77777777" w:rsidR="00EB1D16" w:rsidRPr="00F56993" w:rsidRDefault="00EB1D16" w:rsidP="00D73787">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le</w:t>
      </w:r>
      <w:proofErr w:type="gramEnd"/>
      <w:r w:rsidRPr="00F56993">
        <w:rPr>
          <w:rFonts w:asciiTheme="majorHAnsi" w:hAnsiTheme="majorHAnsi"/>
        </w:rPr>
        <w:t xml:space="preserve"> cas dans lequel un certain nombre de procédures de mise en concurrence sont déjà organisées par l’autorité compétente ou d’autres autorités et que celles-ci pourraient « </w:t>
      </w:r>
      <w:r w:rsidRPr="00F56993">
        <w:rPr>
          <w:rFonts w:asciiTheme="majorHAnsi" w:hAnsiTheme="majorHAnsi"/>
          <w:i/>
          <w:iCs/>
        </w:rPr>
        <w:t>affecter le nombre et la qualité des offres susceptibles d’être reçues si le contrat fait l’objet d’une mise en concurrence »</w:t>
      </w:r>
      <w:r w:rsidRPr="00F56993">
        <w:rPr>
          <w:rFonts w:asciiTheme="majorHAnsi" w:hAnsiTheme="majorHAnsi"/>
        </w:rPr>
        <w:t> ;</w:t>
      </w:r>
    </w:p>
    <w:p w14:paraId="1B0ED8D0" w14:textId="77777777" w:rsidR="00EB1D16" w:rsidRPr="00F56993" w:rsidRDefault="00EB1D16" w:rsidP="00F56993">
      <w:pPr>
        <w:pStyle w:val="Listeavectirets"/>
        <w:numPr>
          <w:ilvl w:val="0"/>
          <w:numId w:val="11"/>
        </w:numPr>
        <w:spacing w:before="240" w:after="0"/>
        <w:ind w:left="1003" w:hanging="357"/>
        <w:rPr>
          <w:rFonts w:asciiTheme="majorHAnsi" w:hAnsiTheme="majorHAnsi"/>
        </w:rPr>
      </w:pPr>
      <w:proofErr w:type="gramStart"/>
      <w:r w:rsidRPr="00F56993">
        <w:rPr>
          <w:rFonts w:asciiTheme="majorHAnsi" w:hAnsiTheme="majorHAnsi"/>
        </w:rPr>
        <w:t>le</w:t>
      </w:r>
      <w:proofErr w:type="gramEnd"/>
      <w:r w:rsidRPr="00F56993">
        <w:rPr>
          <w:rFonts w:asciiTheme="majorHAnsi" w:hAnsiTheme="majorHAnsi"/>
        </w:rPr>
        <w:t xml:space="preserve"> cas dans lequel des modifications du « </w:t>
      </w:r>
      <w:r w:rsidRPr="00F56993">
        <w:rPr>
          <w:rFonts w:asciiTheme="majorHAnsi" w:hAnsiTheme="majorHAnsi"/>
          <w:i/>
          <w:iCs/>
        </w:rPr>
        <w:t>champ d’application</w:t>
      </w:r>
      <w:r w:rsidRPr="00F56993">
        <w:rPr>
          <w:rFonts w:asciiTheme="majorHAnsi" w:hAnsiTheme="majorHAnsi"/>
        </w:rPr>
        <w:t xml:space="preserve"> » d’un ou de plusieurs contrats de service public « </w:t>
      </w:r>
      <w:r w:rsidRPr="00F56993">
        <w:rPr>
          <w:rFonts w:asciiTheme="majorHAnsi" w:hAnsiTheme="majorHAnsi"/>
          <w:i/>
          <w:iCs/>
        </w:rPr>
        <w:t>sont nécessaires pour optimiser l’offre de services publics </w:t>
      </w:r>
      <w:r w:rsidRPr="00F56993">
        <w:rPr>
          <w:rFonts w:asciiTheme="majorHAnsi" w:hAnsiTheme="majorHAnsi"/>
        </w:rPr>
        <w:t>». Cette hypothèse est précisée dans les lignes directrices de la Commission européenne qui indiquent que</w:t>
      </w:r>
      <w:r w:rsidRPr="00F56993">
        <w:rPr>
          <w:rFonts w:asciiTheme="majorHAnsi" w:hAnsiTheme="majorHAnsi"/>
          <w:i/>
          <w:iCs/>
        </w:rPr>
        <w:t xml:space="preserve"> « les situations dans lesquelles une autorité compétente souhaite</w:t>
      </w:r>
      <w:r w:rsidRPr="00F56993">
        <w:rPr>
          <w:rFonts w:asciiTheme="majorHAnsi" w:hAnsiTheme="majorHAnsi"/>
          <w:b/>
          <w:bCs/>
          <w:i/>
          <w:iCs/>
        </w:rPr>
        <w:t xml:space="preserve"> </w:t>
      </w:r>
      <w:r w:rsidRPr="00F56993">
        <w:rPr>
          <w:rFonts w:asciiTheme="majorHAnsi" w:hAnsiTheme="majorHAnsi"/>
          <w:i/>
          <w:iCs/>
          <w:u w:val="single"/>
        </w:rPr>
        <w:t>redéfinir la portée géographique ou la taille des lots du marché constituent de telles circonstances exceptionnelles</w:t>
      </w:r>
      <w:r w:rsidRPr="00F56993">
        <w:rPr>
          <w:rFonts w:asciiTheme="majorHAnsi" w:hAnsiTheme="majorHAnsi"/>
          <w:i/>
          <w:iCs/>
        </w:rPr>
        <w:t xml:space="preserve">. Par exemple, dans les cas où une autorité compétente prévoit de fournir des services de transport public dans le cadre d’un seul contrat, alors que ces services sont fournis en vertu de deux contrats existants dont la date d’expiration est différente, il peut s’avérer nécessaire de procéder </w:t>
      </w:r>
      <w:r w:rsidRPr="00F56993">
        <w:rPr>
          <w:rFonts w:asciiTheme="majorHAnsi" w:hAnsiTheme="majorHAnsi"/>
          <w:i/>
          <w:iCs/>
          <w:u w:val="single"/>
        </w:rPr>
        <w:t>temporairement</w:t>
      </w:r>
      <w:r w:rsidRPr="00F56993">
        <w:rPr>
          <w:rFonts w:asciiTheme="majorHAnsi" w:hAnsiTheme="majorHAnsi"/>
          <w:i/>
          <w:iCs/>
        </w:rPr>
        <w:t xml:space="preserve"> </w:t>
      </w:r>
      <w:r w:rsidRPr="00F56993">
        <w:rPr>
          <w:rFonts w:asciiTheme="majorHAnsi" w:hAnsiTheme="majorHAnsi"/>
          <w:i/>
          <w:iCs/>
        </w:rPr>
        <w:lastRenderedPageBreak/>
        <w:t>à l’attribution directe du contrat dont la date d’expiration est la plus proche afin de faire en sorte que les deux contrats prennent fin à la même date »</w:t>
      </w:r>
      <w:r w:rsidRPr="00F56993">
        <w:rPr>
          <w:rFonts w:asciiTheme="majorHAnsi" w:hAnsiTheme="majorHAnsi"/>
          <w:i/>
          <w:iCs/>
          <w:vertAlign w:val="superscript"/>
        </w:rPr>
        <w:footnoteReference w:id="12"/>
      </w:r>
      <w:r w:rsidRPr="00F56993">
        <w:rPr>
          <w:rFonts w:asciiTheme="majorHAnsi" w:hAnsiTheme="majorHAnsi"/>
          <w:i/>
          <w:iCs/>
        </w:rPr>
        <w:t xml:space="preserve"> </w:t>
      </w:r>
      <w:r w:rsidRPr="00F56993">
        <w:rPr>
          <w:rFonts w:asciiTheme="majorHAnsi" w:hAnsiTheme="majorHAnsi"/>
        </w:rPr>
        <w:t>(soulignements ajoutés).</w:t>
      </w:r>
    </w:p>
    <w:p w14:paraId="23A062E1" w14:textId="77777777" w:rsidR="00EB1D16" w:rsidRPr="00F56993" w:rsidRDefault="00EB1D16" w:rsidP="00D73787">
      <w:pPr>
        <w:pStyle w:val="Paragraphenumrot"/>
        <w:spacing w:before="240" w:after="240"/>
        <w:ind w:left="284" w:hanging="360"/>
        <w:rPr>
          <w:rFonts w:asciiTheme="majorHAnsi" w:hAnsiTheme="majorHAnsi"/>
        </w:rPr>
      </w:pPr>
      <w:r w:rsidRPr="00F56993">
        <w:rPr>
          <w:rFonts w:asciiTheme="majorHAnsi" w:hAnsiTheme="majorHAnsi"/>
        </w:rPr>
        <w:t xml:space="preserve">L’article 5, paragraphe 3 </w:t>
      </w:r>
      <w:r w:rsidRPr="00F56993">
        <w:rPr>
          <w:rFonts w:asciiTheme="majorHAnsi" w:hAnsiTheme="majorHAnsi"/>
          <w:i/>
          <w:iCs/>
        </w:rPr>
        <w:t>bis</w:t>
      </w:r>
      <w:r w:rsidRPr="00F56993">
        <w:rPr>
          <w:rFonts w:asciiTheme="majorHAnsi" w:hAnsiTheme="majorHAnsi"/>
        </w:rPr>
        <w:t xml:space="preserve"> du règlement OSP encadre le recours à cette dérogation dans le temps : la durée des contrats attribués sur ce fondement doit être</w:t>
      </w:r>
      <w:r w:rsidRPr="00F56993">
        <w:rPr>
          <w:rFonts w:asciiTheme="majorHAnsi" w:hAnsiTheme="majorHAnsi"/>
          <w:i/>
          <w:iCs/>
        </w:rPr>
        <w:t xml:space="preserve"> </w:t>
      </w:r>
      <w:bookmarkStart w:id="59" w:name="_Hlk155716236"/>
      <w:r w:rsidRPr="00F56993">
        <w:rPr>
          <w:rFonts w:asciiTheme="majorHAnsi" w:hAnsiTheme="majorHAnsi"/>
          <w:i/>
          <w:iCs/>
        </w:rPr>
        <w:t xml:space="preserve">« proportionnée à la circonstance exceptionnelle concernée </w:t>
      </w:r>
      <w:bookmarkEnd w:id="59"/>
      <w:r w:rsidRPr="00F56993">
        <w:rPr>
          <w:rFonts w:asciiTheme="majorHAnsi" w:hAnsiTheme="majorHAnsi"/>
          <w:i/>
          <w:iCs/>
        </w:rPr>
        <w:t>et ne dépasse en aucun cas cinq ans ».</w:t>
      </w:r>
      <w:r w:rsidRPr="00F56993">
        <w:rPr>
          <w:rFonts w:asciiTheme="majorHAnsi" w:hAnsiTheme="majorHAnsi"/>
        </w:rPr>
        <w:t xml:space="preserve"> En outre, cette exception ne pourra être utilisée qu’une seule fois : tout contrat ultérieur, dès lors qu’il porterait sur les mêmes obligations de service public, ne pourra être attribué qu’après mise en concurrence.</w:t>
      </w:r>
    </w:p>
    <w:p w14:paraId="5AFE17DF" w14:textId="77777777" w:rsidR="00EB1D16" w:rsidRPr="00F56993" w:rsidRDefault="00EB1D16" w:rsidP="00EB1D16">
      <w:pPr>
        <w:pStyle w:val="Titre2"/>
        <w:spacing w:after="0"/>
        <w:ind w:left="851" w:hanging="426"/>
        <w:rPr>
          <w:rFonts w:asciiTheme="majorHAnsi" w:hAnsiTheme="majorHAnsi"/>
        </w:rPr>
      </w:pPr>
      <w:bookmarkStart w:id="60" w:name="_Toc152250273"/>
      <w:bookmarkStart w:id="61" w:name="_Toc156841774"/>
      <w:bookmarkStart w:id="62" w:name="_Toc160043529"/>
      <w:r w:rsidRPr="00F56993">
        <w:rPr>
          <w:rFonts w:asciiTheme="majorHAnsi" w:hAnsiTheme="majorHAnsi"/>
        </w:rPr>
        <w:t>Modalités d’analyse mises en œuvre par l’Autorité en cas de demande de dérogation motivée par des circonstances exceptionnelles</w:t>
      </w:r>
      <w:bookmarkEnd w:id="60"/>
      <w:bookmarkEnd w:id="61"/>
      <w:bookmarkEnd w:id="62"/>
    </w:p>
    <w:p w14:paraId="60E6A073" w14:textId="77777777" w:rsidR="00EB1D16" w:rsidRPr="00F56993" w:rsidRDefault="00EB1D16" w:rsidP="00EB1D16">
      <w:pPr>
        <w:pStyle w:val="Paragraphenumrot"/>
        <w:spacing w:before="240" w:after="240"/>
        <w:ind w:left="284" w:hanging="360"/>
        <w:rPr>
          <w:rFonts w:asciiTheme="majorHAnsi" w:hAnsiTheme="majorHAnsi"/>
        </w:rPr>
      </w:pPr>
      <w:bookmarkStart w:id="63" w:name="_Toc156841775"/>
      <w:r w:rsidRPr="00F56993">
        <w:rPr>
          <w:rFonts w:asciiTheme="majorHAnsi" w:hAnsiTheme="majorHAnsi"/>
        </w:rPr>
        <w:t xml:space="preserve">Les demandes de dérogation fondées sur l'existence de plusieurs procédures de mise en concurrence seront appréciées en deux étapes successives par l’Autorité. </w:t>
      </w:r>
    </w:p>
    <w:p w14:paraId="0AA63ED6" w14:textId="77777777" w:rsidR="00EB1D16" w:rsidRPr="00F56993" w:rsidRDefault="00EB1D16" w:rsidP="00EB1D16">
      <w:pPr>
        <w:pStyle w:val="Paragraphenumrot"/>
        <w:spacing w:before="240" w:after="240"/>
        <w:ind w:left="284" w:hanging="360"/>
        <w:rPr>
          <w:rFonts w:asciiTheme="majorHAnsi" w:hAnsiTheme="majorHAnsi"/>
          <w:b/>
          <w:bCs/>
        </w:rPr>
      </w:pPr>
      <w:r w:rsidRPr="00F56993">
        <w:rPr>
          <w:rFonts w:asciiTheme="majorHAnsi" w:hAnsiTheme="majorHAnsi"/>
          <w:b/>
          <w:bCs/>
        </w:rPr>
        <w:t>Tout d’abord, l’analyse de l’Autorité visera à s’assurer qu’il n’y ait pas, au niveau national, un volume d’appels d’offres tel que cela empêche le jeu de la concurrence sur l’appel d’offres objet de la demande de dérogation.</w:t>
      </w:r>
    </w:p>
    <w:p w14:paraId="7AA12C7A" w14:textId="5EB35999" w:rsidR="00EB1D16" w:rsidRPr="00F56993" w:rsidRDefault="00EB1D16" w:rsidP="00BA7545">
      <w:pPr>
        <w:pStyle w:val="Paragraphenumrot"/>
        <w:spacing w:before="240" w:after="240"/>
        <w:ind w:left="284" w:hanging="360"/>
        <w:rPr>
          <w:rFonts w:asciiTheme="majorHAnsi" w:hAnsiTheme="majorHAnsi"/>
        </w:rPr>
      </w:pPr>
      <w:r w:rsidRPr="00F56993">
        <w:rPr>
          <w:rFonts w:asciiTheme="majorHAnsi" w:hAnsiTheme="majorHAnsi"/>
        </w:rPr>
        <w:t xml:space="preserve">Cette analyse prendra en compte (i) le nombre d'appels d'offres en cours au niveau national et (ii) la capacité des entreprises ferroviaires à y répondre simultanément. </w:t>
      </w:r>
      <w:bookmarkEnd w:id="63"/>
      <w:r w:rsidRPr="00F56993">
        <w:rPr>
          <w:rFonts w:asciiTheme="majorHAnsi" w:hAnsiTheme="majorHAnsi"/>
        </w:rPr>
        <w:t xml:space="preserve">En effet, la réponse aux appels d’offres est une procédure coûteuse et chronophage pour les entreprises ferroviaires, notamment pour les nouveaux entrants, dont les ressources humaines et financières sont limitées. Il convient néanmoins d’observer que si un nombre suffisant d’entreprises ferroviaires intervient sur le marché du transport conventionné de voyageurs, il n’est pas nécessaire que l’ensemble de ces entreprises ferroviaires réponde à chaque appel d’offres pour que la concurrence puisse s’exercer. </w:t>
      </w:r>
    </w:p>
    <w:p w14:paraId="143440A1" w14:textId="75D1B103" w:rsidR="00BA7545"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 xml:space="preserve">Le nombre de procédures d’appels d’offres en cours susceptible d’affecter le nombre ou la qualité des offres dépend des caractéristiques de chaque espèce et a vocation à </w:t>
      </w:r>
      <w:r w:rsidR="00E15C3E" w:rsidRPr="00F56993">
        <w:rPr>
          <w:rFonts w:asciiTheme="majorHAnsi" w:hAnsiTheme="majorHAnsi"/>
        </w:rPr>
        <w:t xml:space="preserve">varier </w:t>
      </w:r>
      <w:r w:rsidRPr="00F56993">
        <w:rPr>
          <w:rFonts w:asciiTheme="majorHAnsi" w:hAnsiTheme="majorHAnsi"/>
        </w:rPr>
        <w:t>dans le temps en fonction de l’évolution du marché et compte tenu de l’expérience acquise par les différents acteurs.</w:t>
      </w:r>
    </w:p>
    <w:p w14:paraId="77DC602C" w14:textId="2EC3F34B" w:rsidR="00CF38C7" w:rsidRPr="00CF38C7" w:rsidRDefault="006B56E9" w:rsidP="00F56993">
      <w:pPr>
        <w:pStyle w:val="Paragraphenumrot"/>
        <w:spacing w:before="240" w:after="240"/>
        <w:ind w:left="284" w:hanging="360"/>
        <w:rPr>
          <w:rFonts w:asciiTheme="majorHAnsi" w:hAnsiTheme="majorHAnsi"/>
        </w:rPr>
      </w:pPr>
      <w:r w:rsidRPr="00F56993">
        <w:rPr>
          <w:rFonts w:asciiTheme="majorHAnsi" w:hAnsiTheme="majorHAnsi"/>
        </w:rPr>
        <w:t>À titre indicatif, s</w:t>
      </w:r>
      <w:r w:rsidR="00366B17" w:rsidRPr="00F56993">
        <w:rPr>
          <w:rFonts w:asciiTheme="majorHAnsi" w:hAnsiTheme="majorHAnsi"/>
        </w:rPr>
        <w:t>ous un jeu d’hypothèses aux termes desquelles (i)</w:t>
      </w:r>
      <w:r w:rsidR="00EB1D16" w:rsidRPr="00F56993">
        <w:rPr>
          <w:rFonts w:asciiTheme="majorHAnsi" w:hAnsiTheme="majorHAnsi"/>
        </w:rPr>
        <w:t xml:space="preserve"> chaque appel d’offre est jugé d’importance équivalente pour les entreprises ferroviaires candidates</w:t>
      </w:r>
      <w:r w:rsidR="00366B17" w:rsidRPr="00F56993">
        <w:rPr>
          <w:rFonts w:asciiTheme="majorHAnsi" w:hAnsiTheme="majorHAnsi"/>
        </w:rPr>
        <w:t xml:space="preserve">, (ii) </w:t>
      </w:r>
      <w:r w:rsidR="00EB1D16" w:rsidRPr="00F56993">
        <w:rPr>
          <w:rFonts w:asciiTheme="majorHAnsi" w:hAnsiTheme="majorHAnsi"/>
        </w:rPr>
        <w:t xml:space="preserve">chaque entreprise ferroviaire </w:t>
      </w:r>
      <w:r w:rsidR="00366B17" w:rsidRPr="00F56993">
        <w:rPr>
          <w:rFonts w:asciiTheme="majorHAnsi" w:hAnsiTheme="majorHAnsi"/>
        </w:rPr>
        <w:t xml:space="preserve">est en capacité d’y répondre et (iii) chaque entreprise ferroviaire ne peut raisonnablement traiter, de façon concomitante, plus de deux appels d’offres, il faudrait qu’il y ait au maximum autant d’appels d’offres simultanés que d’entreprises ferroviaires présentes sur le marché pour assurer au moins deux candidats pour chaque appel d’offre. Le relâchement de certaines hypothèses – </w:t>
      </w:r>
      <w:r w:rsidR="007F4FC6" w:rsidRPr="00F56993">
        <w:rPr>
          <w:rFonts w:asciiTheme="majorHAnsi" w:hAnsiTheme="majorHAnsi"/>
        </w:rPr>
        <w:t>notamment</w:t>
      </w:r>
      <w:r w:rsidR="00366B17" w:rsidRPr="00F56993">
        <w:rPr>
          <w:rFonts w:asciiTheme="majorHAnsi" w:hAnsiTheme="majorHAnsi"/>
        </w:rPr>
        <w:t xml:space="preserve">, par exemple, la possibilité, pour un opérateur, de répondre à </w:t>
      </w:r>
      <w:r w:rsidR="007F4FC6" w:rsidRPr="00F56993">
        <w:rPr>
          <w:rFonts w:asciiTheme="majorHAnsi" w:hAnsiTheme="majorHAnsi"/>
        </w:rPr>
        <w:t>plus que deux</w:t>
      </w:r>
      <w:r w:rsidR="00366B17" w:rsidRPr="00F56993">
        <w:rPr>
          <w:rFonts w:asciiTheme="majorHAnsi" w:hAnsiTheme="majorHAnsi"/>
        </w:rPr>
        <w:t xml:space="preserve"> appels d’offres simultanément</w:t>
      </w:r>
      <w:r w:rsidR="007F4FC6" w:rsidRPr="00F56993">
        <w:rPr>
          <w:rFonts w:asciiTheme="majorHAnsi" w:hAnsiTheme="majorHAnsi"/>
        </w:rPr>
        <w:t xml:space="preserve"> –</w:t>
      </w:r>
      <w:r w:rsidR="00366B17" w:rsidRPr="00F56993">
        <w:rPr>
          <w:rFonts w:asciiTheme="majorHAnsi" w:hAnsiTheme="majorHAnsi"/>
        </w:rPr>
        <w:t xml:space="preserve">, </w:t>
      </w:r>
      <w:r w:rsidR="007F4FC6" w:rsidRPr="00F56993">
        <w:rPr>
          <w:rFonts w:asciiTheme="majorHAnsi" w:hAnsiTheme="majorHAnsi"/>
        </w:rPr>
        <w:t>est néanmoins de nature à relever potentiellement significativement le nombre maximum d’appels d’offres pouvant être organisés de manière simultanée tout en maintenant une concurrence suffisante.</w:t>
      </w:r>
    </w:p>
    <w:p w14:paraId="5C627C02" w14:textId="59CFFC21" w:rsidR="00CF38C7" w:rsidRPr="00CF38C7" w:rsidRDefault="00CF38C7" w:rsidP="00F56993">
      <w:pPr>
        <w:pStyle w:val="Paragraphenumrot"/>
        <w:ind w:left="284" w:hanging="360"/>
        <w:rPr>
          <w:rFonts w:asciiTheme="majorHAnsi" w:hAnsiTheme="majorHAnsi"/>
        </w:rPr>
      </w:pPr>
      <w:r w:rsidRPr="00CF38C7">
        <w:rPr>
          <w:rFonts w:asciiTheme="majorHAnsi" w:hAnsiTheme="majorHAnsi"/>
        </w:rPr>
        <w:t>Dans ces conditions, tant que le nombre total d’appels d’offres au niveau national n’excède pas cinq, l’Autorité n’identifierait pas de circonstance dirimante de nature à affecter le nombre ou la qualité des offres remises.</w:t>
      </w:r>
    </w:p>
    <w:p w14:paraId="34F2BB1D" w14:textId="0109FF30" w:rsidR="00EB1D16" w:rsidRPr="00F56993" w:rsidRDefault="00EB1D16" w:rsidP="007F4FC6">
      <w:pPr>
        <w:pStyle w:val="Paragraphenumrot"/>
        <w:spacing w:before="240" w:after="240"/>
        <w:ind w:left="284" w:hanging="360"/>
        <w:rPr>
          <w:rFonts w:asciiTheme="majorHAnsi" w:hAnsiTheme="majorHAnsi"/>
        </w:rPr>
      </w:pPr>
      <w:r w:rsidRPr="00F56993">
        <w:rPr>
          <w:rFonts w:asciiTheme="majorHAnsi" w:hAnsiTheme="majorHAnsi"/>
        </w:rPr>
        <w:t>Dans ces conditions,</w:t>
      </w:r>
      <w:r w:rsidR="006B56E9" w:rsidRPr="00F56993">
        <w:rPr>
          <w:rFonts w:asciiTheme="majorHAnsi" w:hAnsiTheme="majorHAnsi"/>
        </w:rPr>
        <w:t xml:space="preserve"> et en l’état des acteurs ayant manifesté leur intérêt pour assurer des services conventionnés de transport ferroviaire de voyageurs en France,</w:t>
      </w:r>
      <w:r w:rsidRPr="00F56993">
        <w:rPr>
          <w:rFonts w:asciiTheme="majorHAnsi" w:hAnsiTheme="majorHAnsi"/>
        </w:rPr>
        <w:t xml:space="preserve"> l’Autorité n</w:t>
      </w:r>
      <w:r w:rsidR="006B56E9" w:rsidRPr="00F56993">
        <w:rPr>
          <w:rFonts w:asciiTheme="majorHAnsi" w:hAnsiTheme="majorHAnsi"/>
        </w:rPr>
        <w:t>e serait pas susceptible d’</w:t>
      </w:r>
      <w:r w:rsidRPr="00F56993">
        <w:rPr>
          <w:rFonts w:asciiTheme="majorHAnsi" w:hAnsiTheme="majorHAnsi"/>
        </w:rPr>
        <w:t>identifier</w:t>
      </w:r>
      <w:r w:rsidR="006B56E9" w:rsidRPr="00F56993">
        <w:rPr>
          <w:rFonts w:asciiTheme="majorHAnsi" w:hAnsiTheme="majorHAnsi"/>
        </w:rPr>
        <w:t xml:space="preserve"> </w:t>
      </w:r>
      <w:r w:rsidRPr="00F56993">
        <w:rPr>
          <w:rFonts w:asciiTheme="majorHAnsi" w:hAnsiTheme="majorHAnsi"/>
        </w:rPr>
        <w:t>de circonstance dirimante de nature à affecter le nombre ou la qualité des offres remises</w:t>
      </w:r>
      <w:r w:rsidR="006B56E9" w:rsidRPr="00F56993">
        <w:rPr>
          <w:rFonts w:asciiTheme="majorHAnsi" w:hAnsiTheme="majorHAnsi"/>
        </w:rPr>
        <w:t xml:space="preserve"> tant que le nombre total d’appels d’offres au niveau national </w:t>
      </w:r>
      <w:r w:rsidR="006B56E9" w:rsidRPr="00F56993">
        <w:rPr>
          <w:rFonts w:asciiTheme="majorHAnsi" w:hAnsiTheme="majorHAnsi"/>
        </w:rPr>
        <w:lastRenderedPageBreak/>
        <w:t>n’excéderait pas cinq</w:t>
      </w:r>
      <w:r w:rsidRPr="00F56993">
        <w:rPr>
          <w:rFonts w:asciiTheme="majorHAnsi" w:hAnsiTheme="majorHAnsi"/>
        </w:rPr>
        <w:t>.</w:t>
      </w:r>
      <w:r w:rsidR="007F4FC6" w:rsidRPr="00F56993">
        <w:rPr>
          <w:rFonts w:asciiTheme="majorHAnsi" w:hAnsiTheme="majorHAnsi"/>
        </w:rPr>
        <w:t xml:space="preserve"> </w:t>
      </w:r>
      <w:r w:rsidRPr="00F56993">
        <w:rPr>
          <w:rFonts w:asciiTheme="majorHAnsi" w:hAnsiTheme="majorHAnsi"/>
        </w:rPr>
        <w:t>À l’inverse, l’atteinte de ce seuil ne saurait justifier, à elle</w:t>
      </w:r>
      <w:r w:rsidR="007F4FC6" w:rsidRPr="00F56993">
        <w:rPr>
          <w:rFonts w:asciiTheme="majorHAnsi" w:hAnsiTheme="majorHAnsi"/>
        </w:rPr>
        <w:t xml:space="preserve"> </w:t>
      </w:r>
      <w:r w:rsidRPr="00F56993">
        <w:rPr>
          <w:rFonts w:asciiTheme="majorHAnsi" w:hAnsiTheme="majorHAnsi"/>
        </w:rPr>
        <w:t xml:space="preserve">seule, l’attribution directe d’un contrat de service public. </w:t>
      </w:r>
    </w:p>
    <w:p w14:paraId="5F010D4B"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b/>
          <w:bCs/>
        </w:rPr>
        <w:t>Ainsi, si l’Autorité identifie un risque que le nombre d’appels d’offres en cours au niveau national empêche toute concurrence, elle procédera, dans un second temps, à une appréciation au cas par cas, prenant notamment en considération</w:t>
      </w:r>
      <w:r w:rsidRPr="00F56993">
        <w:rPr>
          <w:rFonts w:asciiTheme="majorHAnsi" w:hAnsiTheme="majorHAnsi"/>
        </w:rPr>
        <w:t xml:space="preserve"> : </w:t>
      </w:r>
    </w:p>
    <w:p w14:paraId="6E15CBA4" w14:textId="77777777" w:rsidR="00B27272" w:rsidRDefault="00EB1D16" w:rsidP="00B27272">
      <w:pPr>
        <w:pStyle w:val="Listeavectirets"/>
        <w:ind w:left="1004"/>
        <w:rPr>
          <w:rFonts w:asciiTheme="majorHAnsi" w:hAnsiTheme="majorHAnsi"/>
        </w:rPr>
      </w:pPr>
      <w:bookmarkStart w:id="64" w:name="_Hlk160094877"/>
      <w:r w:rsidRPr="00F56993">
        <w:rPr>
          <w:rFonts w:asciiTheme="majorHAnsi" w:hAnsiTheme="majorHAnsi"/>
        </w:rPr>
        <w:t xml:space="preserve">(i) le </w:t>
      </w:r>
      <w:bookmarkEnd w:id="64"/>
      <w:r w:rsidRPr="00F56993">
        <w:rPr>
          <w:rFonts w:asciiTheme="majorHAnsi" w:hAnsiTheme="majorHAnsi"/>
        </w:rPr>
        <w:t>nombre précis d’appels d’offres en cours et l’avancement de chacun ; ainsi que</w:t>
      </w:r>
    </w:p>
    <w:p w14:paraId="6FBEA406" w14:textId="77777777" w:rsidR="00B27272" w:rsidRDefault="00B27272" w:rsidP="00B27272">
      <w:pPr>
        <w:pStyle w:val="Listeavectirets"/>
        <w:numPr>
          <w:ilvl w:val="0"/>
          <w:numId w:val="0"/>
        </w:numPr>
        <w:ind w:left="1004"/>
        <w:rPr>
          <w:rFonts w:asciiTheme="majorHAnsi" w:hAnsiTheme="majorHAnsi"/>
        </w:rPr>
      </w:pPr>
    </w:p>
    <w:p w14:paraId="2F73AC67" w14:textId="7FEF9E24" w:rsidR="00B27272" w:rsidRPr="00B27272" w:rsidRDefault="00EB1D16" w:rsidP="00B27272">
      <w:pPr>
        <w:pStyle w:val="Listeavectirets"/>
        <w:ind w:left="1004"/>
        <w:rPr>
          <w:rFonts w:asciiTheme="majorHAnsi" w:hAnsiTheme="majorHAnsi"/>
        </w:rPr>
      </w:pPr>
      <w:r w:rsidRPr="00F56993">
        <w:rPr>
          <w:rFonts w:asciiTheme="majorHAnsi" w:hAnsiTheme="majorHAnsi"/>
        </w:rPr>
        <w:t xml:space="preserve">(ii) les mesures prises par l’AOT pour éviter de faire face à une telle situation d’engorgement, telles que l’échelonnement du calendrier d’ouverture à la concurrence, les diligences faites pour assurer le respect du calendrier initial, le nombre de lots déjà attribués après mise en concurrence </w:t>
      </w:r>
      <w:r w:rsidR="0075460B">
        <w:t xml:space="preserve">et </w:t>
      </w:r>
      <w:r w:rsidR="0075460B" w:rsidRPr="00196BF1">
        <w:t>les démarches de concertation entreprises avec d'autres AOT en vue de coordonner les procédures</w:t>
      </w:r>
      <w:r w:rsidR="0075460B">
        <w:t>.</w:t>
      </w:r>
      <w:r w:rsidR="0075460B" w:rsidRPr="0075460B" w:rsidDel="00F21782">
        <w:t xml:space="preserve"> </w:t>
      </w:r>
    </w:p>
    <w:p w14:paraId="2181EC23" w14:textId="081F2FA6"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Dans ce contexte, l’Autorité recommande aux AOT de se coordonner ou, à tout le moins, de se concerter afin que (i) les appels d’offres soient cadencés de manière à permettre une mobilisation continue des candidats ; (ii) l’objectif d’ouverture de la procédure d’attribution au terme des conventions en cours soit atteint ; (iii) toutes les parties prenantes montent en compétence sur le sujet.</w:t>
      </w:r>
    </w:p>
    <w:p w14:paraId="104CB72F" w14:textId="77777777" w:rsidR="00EB1D16" w:rsidRPr="00F56993" w:rsidRDefault="00EB1D16" w:rsidP="00197FC7">
      <w:pPr>
        <w:pStyle w:val="Titre3"/>
      </w:pPr>
      <w:bookmarkStart w:id="65" w:name="_Toc156602489"/>
      <w:bookmarkStart w:id="66" w:name="_Toc156841776"/>
      <w:bookmarkStart w:id="67" w:name="_Toc160043530"/>
      <w:bookmarkEnd w:id="65"/>
      <w:r w:rsidRPr="00F56993">
        <w:t>Les demandes de dérogation fondées sur de nécessaires modifications du champ d’application du contrat feront l’objet d’une appréciation au cas par cas</w:t>
      </w:r>
      <w:bookmarkEnd w:id="66"/>
      <w:bookmarkEnd w:id="67"/>
    </w:p>
    <w:p w14:paraId="6A1C4FF4" w14:textId="73EE094C" w:rsidR="00BA7545"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L’Autorité s’appuiera sur les justifications apportées par l’AOT saisissante (notamment en ce qui concerne la réorganisation du service projetée et les gains d’efficacité attendus), qu’elle appréciera au cas par cas.</w:t>
      </w:r>
    </w:p>
    <w:p w14:paraId="5B34213A"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 xml:space="preserve">L’Autorité exclut </w:t>
      </w:r>
      <w:r w:rsidRPr="00F56993">
        <w:rPr>
          <w:rFonts w:asciiTheme="majorHAnsi" w:hAnsiTheme="majorHAnsi"/>
          <w:i/>
          <w:iCs/>
        </w:rPr>
        <w:t>a priori</w:t>
      </w:r>
      <w:r w:rsidRPr="00F56993">
        <w:rPr>
          <w:rFonts w:asciiTheme="majorHAnsi" w:hAnsiTheme="majorHAnsi"/>
        </w:rPr>
        <w:t xml:space="preserve"> du champ de cette dérogation les cas où l’attribution directe serait justifiée par la complexité ou le temps nécessaire à la mise en place d’une attribution concurrentielle ou aurait pour objet de contourner l’application des règles de la commande publique.</w:t>
      </w:r>
    </w:p>
    <w:p w14:paraId="79EB82E3" w14:textId="77777777" w:rsidR="00EB1D16" w:rsidRPr="00F56993" w:rsidRDefault="00EB1D16" w:rsidP="00197FC7">
      <w:pPr>
        <w:pStyle w:val="Titre3"/>
      </w:pPr>
      <w:bookmarkStart w:id="68" w:name="_Toc156841777"/>
      <w:bookmarkStart w:id="69" w:name="_Toc160043531"/>
      <w:r w:rsidRPr="00F56993">
        <w:t>L’AOT saisissante devra justifier du caractère proportionn</w:t>
      </w:r>
      <w:r w:rsidRPr="00F56993">
        <w:rPr>
          <w:rFonts w:cs="Roboto"/>
        </w:rPr>
        <w:t>é</w:t>
      </w:r>
      <w:r w:rsidRPr="00F56993">
        <w:t xml:space="preserve"> de la dur</w:t>
      </w:r>
      <w:r w:rsidRPr="00F56993">
        <w:rPr>
          <w:rFonts w:cs="Roboto"/>
        </w:rPr>
        <w:t>é</w:t>
      </w:r>
      <w:r w:rsidRPr="00F56993">
        <w:t xml:space="preserve">e du contrat </w:t>
      </w:r>
      <w:r w:rsidRPr="00F56993">
        <w:rPr>
          <w:rFonts w:cs="Roboto"/>
        </w:rPr>
        <w:t>à</w:t>
      </w:r>
      <w:r w:rsidRPr="00F56993">
        <w:t xml:space="preserve"> la circonstance exceptionnelle invoqu</w:t>
      </w:r>
      <w:r w:rsidRPr="00F56993">
        <w:rPr>
          <w:rFonts w:cs="Roboto"/>
        </w:rPr>
        <w:t>é</w:t>
      </w:r>
      <w:r w:rsidRPr="00F56993">
        <w:t>e et d’un calendrier prévisionnel d’ouverture à la concurrence</w:t>
      </w:r>
      <w:bookmarkEnd w:id="68"/>
      <w:bookmarkEnd w:id="69"/>
    </w:p>
    <w:p w14:paraId="5B092FFB"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Pour apprécier le caractère proportionné de la durée du contrat que l’AOT souhaite attribuer directement (qui ne peut excéder cinq ans et ne peut être renouvelé), l'Autorité prendra en considération (i) la nature de la circonstance exceptionnelle invoquée, (ii) le calendrier de la procédure de mise en concurrence envisagé par la suite pour le lot et (iii) les diligences d'ores et déjà effectuées.</w:t>
      </w:r>
    </w:p>
    <w:p w14:paraId="0A829138"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L'AOT soumettant une demande de dérogation doit donc démontrer qu’en raison de la nature de la circonstance exceptionnelle invoquée, aucune durée plus courte du contrat n’est envisageable et transmettre à l’Autorité un calendrier précis et engageant de l’ouverture à la concurrence du lot faisant l’objet de la demande de dérogation</w:t>
      </w:r>
      <w:r w:rsidRPr="00F56993">
        <w:rPr>
          <w:rStyle w:val="Appelnotedebasdep"/>
          <w:rFonts w:asciiTheme="majorHAnsi" w:hAnsiTheme="majorHAnsi"/>
        </w:rPr>
        <w:footnoteReference w:id="13"/>
      </w:r>
      <w:r w:rsidRPr="00F56993">
        <w:rPr>
          <w:rFonts w:asciiTheme="majorHAnsi" w:hAnsiTheme="majorHAnsi"/>
        </w:rPr>
        <w:t>.</w:t>
      </w:r>
    </w:p>
    <w:p w14:paraId="4E09CD70" w14:textId="77777777" w:rsidR="00EB1D16" w:rsidRPr="00F56993" w:rsidRDefault="00EB1D16" w:rsidP="00EB1D16">
      <w:pPr>
        <w:pStyle w:val="Titre2"/>
        <w:spacing w:after="0"/>
        <w:ind w:left="851" w:hanging="426"/>
        <w:rPr>
          <w:rFonts w:asciiTheme="majorHAnsi" w:hAnsiTheme="majorHAnsi" w:cs="Segoe UI"/>
          <w:color w:val="002060"/>
          <w:sz w:val="21"/>
          <w:szCs w:val="21"/>
        </w:rPr>
      </w:pPr>
      <w:bookmarkStart w:id="70" w:name="_Toc155968029"/>
      <w:bookmarkStart w:id="71" w:name="_Toc155968030"/>
      <w:bookmarkStart w:id="72" w:name="_Toc155968031"/>
      <w:bookmarkStart w:id="73" w:name="_Toc152250275"/>
      <w:bookmarkStart w:id="74" w:name="_Toc155369094"/>
      <w:bookmarkStart w:id="75" w:name="_Toc156841778"/>
      <w:bookmarkStart w:id="76" w:name="_Toc160043532"/>
      <w:bookmarkEnd w:id="70"/>
      <w:bookmarkEnd w:id="71"/>
      <w:bookmarkEnd w:id="72"/>
      <w:r w:rsidRPr="00F56993">
        <w:rPr>
          <w:rFonts w:asciiTheme="majorHAnsi" w:hAnsiTheme="majorHAnsi"/>
        </w:rPr>
        <w:lastRenderedPageBreak/>
        <w:t>La composition du dossier de saisine de l’Autorité</w:t>
      </w:r>
      <w:bookmarkEnd w:id="73"/>
      <w:bookmarkEnd w:id="74"/>
      <w:r w:rsidRPr="00F56993">
        <w:rPr>
          <w:rFonts w:asciiTheme="majorHAnsi" w:hAnsiTheme="majorHAnsi"/>
        </w:rPr>
        <w:t xml:space="preserve"> prévu à l’article 3 du décret du 15 juin 2020 susvisé dépend de la circonstance exceptionnelle invoquée</w:t>
      </w:r>
      <w:bookmarkEnd w:id="75"/>
      <w:bookmarkEnd w:id="76"/>
    </w:p>
    <w:p w14:paraId="691B0F16" w14:textId="77777777" w:rsidR="00EB1D16" w:rsidRPr="00F56993" w:rsidRDefault="00EB1D16" w:rsidP="00F56993">
      <w:pPr>
        <w:pStyle w:val="Paragraphenumrot"/>
        <w:keepNext/>
        <w:spacing w:before="240" w:after="240"/>
        <w:ind w:left="284" w:hanging="357"/>
        <w:rPr>
          <w:rFonts w:asciiTheme="majorHAnsi" w:hAnsiTheme="majorHAnsi"/>
        </w:rPr>
      </w:pPr>
      <w:r w:rsidRPr="00F56993">
        <w:rPr>
          <w:rFonts w:asciiTheme="majorHAnsi" w:hAnsiTheme="majorHAnsi"/>
        </w:rPr>
        <w:t>Conformément à l’article 3 du décret du 15 juin 2020 susvisé, le dossier de saisine de l’Autorité, pour avis conforme, comprend :</w:t>
      </w:r>
    </w:p>
    <w:p w14:paraId="4E1EB12F" w14:textId="77777777" w:rsidR="00EB1D16" w:rsidRPr="00F56993" w:rsidRDefault="00EB1D16" w:rsidP="00F56993">
      <w:pPr>
        <w:pStyle w:val="Listeavectirets"/>
        <w:keepNext/>
        <w:numPr>
          <w:ilvl w:val="0"/>
          <w:numId w:val="11"/>
        </w:numPr>
        <w:spacing w:before="240" w:after="240"/>
        <w:ind w:hanging="357"/>
        <w:rPr>
          <w:rFonts w:asciiTheme="majorHAnsi" w:hAnsiTheme="majorHAnsi"/>
        </w:rPr>
      </w:pPr>
      <w:proofErr w:type="gramStart"/>
      <w:r w:rsidRPr="00F56993">
        <w:rPr>
          <w:rFonts w:asciiTheme="majorHAnsi" w:hAnsiTheme="majorHAnsi"/>
        </w:rPr>
        <w:t>le</w:t>
      </w:r>
      <w:proofErr w:type="gramEnd"/>
      <w:r w:rsidRPr="00F56993">
        <w:rPr>
          <w:rFonts w:asciiTheme="majorHAnsi" w:hAnsiTheme="majorHAnsi"/>
        </w:rPr>
        <w:t xml:space="preserve"> projet de décision motivée d’attribuer directement le contrat de service public (projet de délibération motivée de l’organe délibérant de l’AOT)</w:t>
      </w:r>
      <w:r w:rsidRPr="00320B87">
        <w:rPr>
          <w:rFonts w:ascii="Times New Roman" w:hAnsi="Times New Roman"/>
        </w:rPr>
        <w:t> </w:t>
      </w:r>
      <w:r w:rsidRPr="00F56993">
        <w:rPr>
          <w:rFonts w:asciiTheme="majorHAnsi" w:hAnsiTheme="majorHAnsi"/>
        </w:rPr>
        <w:t>;</w:t>
      </w:r>
    </w:p>
    <w:p w14:paraId="0A802B06"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un</w:t>
      </w:r>
      <w:proofErr w:type="gramEnd"/>
      <w:r w:rsidRPr="00F56993">
        <w:rPr>
          <w:rFonts w:asciiTheme="majorHAnsi" w:hAnsiTheme="majorHAnsi"/>
        </w:rPr>
        <w:t xml:space="preserve"> dossier justifiant de la conformité du projet de décision avec les conditions prévues par le paragraphe 3 bis de l’article 5 du règlement OSP relatif à la dérogation relative aux circonstances exceptionnelles. </w:t>
      </w:r>
    </w:p>
    <w:p w14:paraId="6D53D440" w14:textId="77777777" w:rsidR="008930A3" w:rsidRPr="00346CB9" w:rsidRDefault="008930A3" w:rsidP="00F56993">
      <w:pPr>
        <w:pStyle w:val="Paragraphenumrot"/>
        <w:spacing w:before="240" w:after="240"/>
        <w:ind w:left="284" w:hanging="360"/>
      </w:pPr>
      <w:r>
        <w:t xml:space="preserve">À ce titre, </w:t>
      </w:r>
      <w:r w:rsidRPr="00D80E81">
        <w:t>les éléments suivants doivent systématiquement être transmis à l’Autorité</w:t>
      </w:r>
      <w:r>
        <w:t xml:space="preserve"> </w:t>
      </w:r>
      <w:r w:rsidRPr="00346CB9">
        <w:t xml:space="preserve">: </w:t>
      </w:r>
    </w:p>
    <w:p w14:paraId="44028247" w14:textId="77777777" w:rsidR="008930A3" w:rsidRPr="00317CA7" w:rsidRDefault="008930A3" w:rsidP="008930A3">
      <w:pPr>
        <w:pStyle w:val="Listeavectirets"/>
        <w:numPr>
          <w:ilvl w:val="0"/>
          <w:numId w:val="11"/>
        </w:numPr>
        <w:spacing w:before="240" w:after="240"/>
      </w:pPr>
      <w:proofErr w:type="gramStart"/>
      <w:r>
        <w:t>l</w:t>
      </w:r>
      <w:r w:rsidRPr="00317CA7">
        <w:t>e</w:t>
      </w:r>
      <w:proofErr w:type="gramEnd"/>
      <w:r w:rsidRPr="00317CA7">
        <w:t xml:space="preserve"> calendrier formel d’ouverture à la concurrence du lot concerné par la demande de dérogation pour circonstances exceptionnelles ;</w:t>
      </w:r>
    </w:p>
    <w:p w14:paraId="2F4CAE58" w14:textId="77777777" w:rsidR="008930A3" w:rsidRPr="00317CA7" w:rsidRDefault="008930A3" w:rsidP="008930A3">
      <w:pPr>
        <w:pStyle w:val="Listeavectirets"/>
        <w:numPr>
          <w:ilvl w:val="0"/>
          <w:numId w:val="11"/>
        </w:numPr>
        <w:spacing w:before="240" w:after="240"/>
      </w:pPr>
      <w:proofErr w:type="gramStart"/>
      <w:r>
        <w:t>l</w:t>
      </w:r>
      <w:r w:rsidRPr="00317CA7">
        <w:t>es</w:t>
      </w:r>
      <w:proofErr w:type="gramEnd"/>
      <w:r w:rsidRPr="00317CA7">
        <w:t xml:space="preserve"> études menées et les éléments d’analyse justifiant la durée demandée du report (5</w:t>
      </w:r>
      <w:r>
        <w:t xml:space="preserve"> </w:t>
      </w:r>
      <w:r w:rsidRPr="00317CA7">
        <w:t>ans max</w:t>
      </w:r>
      <w:r>
        <w:t>imum</w:t>
      </w:r>
      <w:r w:rsidRPr="00317CA7">
        <w:t>)</w:t>
      </w:r>
      <w:r>
        <w:t xml:space="preserve"> et sa</w:t>
      </w:r>
      <w:r w:rsidRPr="00317CA7">
        <w:t xml:space="preserve"> proportionnalité </w:t>
      </w:r>
      <w:r>
        <w:t>à</w:t>
      </w:r>
      <w:r w:rsidRPr="00317CA7">
        <w:t xml:space="preserve"> la circonstance invoquée ;</w:t>
      </w:r>
    </w:p>
    <w:p w14:paraId="2BC92390" w14:textId="77777777" w:rsidR="008930A3" w:rsidRPr="00D34E27" w:rsidRDefault="008930A3" w:rsidP="008930A3">
      <w:pPr>
        <w:pStyle w:val="Listeavectirets"/>
        <w:numPr>
          <w:ilvl w:val="0"/>
          <w:numId w:val="11"/>
        </w:numPr>
        <w:spacing w:before="240" w:after="240"/>
      </w:pPr>
      <w:proofErr w:type="gramStart"/>
      <w:r>
        <w:t>des</w:t>
      </w:r>
      <w:proofErr w:type="gramEnd"/>
      <w:r>
        <w:t xml:space="preserve"> éléments attestant </w:t>
      </w:r>
      <w:r w:rsidRPr="00317CA7">
        <w:t xml:space="preserve">que </w:t>
      </w:r>
      <w:r>
        <w:t>cette dérogation n’a pas déjà été mobilisée pour attribuer directement la convention en cours d’exécution.</w:t>
      </w:r>
    </w:p>
    <w:p w14:paraId="5E660AA0" w14:textId="13A1808F" w:rsidR="008930A3" w:rsidRDefault="008930A3" w:rsidP="00F56993">
      <w:pPr>
        <w:pStyle w:val="Paragraphenumrot"/>
        <w:spacing w:before="240" w:after="240"/>
        <w:ind w:left="284" w:hanging="360"/>
      </w:pPr>
      <w:r w:rsidRPr="00D80E81">
        <w:t xml:space="preserve">Dans l’hypothèse où la circonstance exceptionnelle réside dans le </w:t>
      </w:r>
      <w:r>
        <w:t>nombre de</w:t>
      </w:r>
      <w:r w:rsidRPr="00D80E81">
        <w:t xml:space="preserve"> procédures de mise en concurrence </w:t>
      </w:r>
      <w:r>
        <w:t>en cours au niveau de</w:t>
      </w:r>
      <w:r w:rsidRPr="00D80E81">
        <w:t xml:space="preserve"> l’autorité compétente ou d’autres autorités</w:t>
      </w:r>
      <w:r>
        <w:rPr>
          <w:rStyle w:val="Marquedecommentaire"/>
          <w:rFonts w:ascii="Franklin Gothic Book" w:hAnsi="Franklin Gothic Book"/>
        </w:rPr>
        <w:t>,</w:t>
      </w:r>
      <w:r>
        <w:t xml:space="preserve"> doivent être également transmis à l’Autorité : </w:t>
      </w:r>
    </w:p>
    <w:p w14:paraId="0BB288A0" w14:textId="35CDBB6D" w:rsidR="008930A3" w:rsidRPr="00317CA7" w:rsidRDefault="008930A3" w:rsidP="008930A3">
      <w:pPr>
        <w:pStyle w:val="Listeavectirets"/>
        <w:numPr>
          <w:ilvl w:val="0"/>
          <w:numId w:val="11"/>
        </w:numPr>
        <w:spacing w:before="240" w:after="240"/>
      </w:pPr>
      <w:proofErr w:type="gramStart"/>
      <w:r w:rsidRPr="00317CA7">
        <w:t>les</w:t>
      </w:r>
      <w:proofErr w:type="gramEnd"/>
      <w:r w:rsidRPr="00317CA7">
        <w:t xml:space="preserve"> avis de </w:t>
      </w:r>
      <w:r>
        <w:t>mise en concurrence</w:t>
      </w:r>
      <w:r w:rsidRPr="00317CA7">
        <w:t xml:space="preserve"> et d’information de l’AOT ou des autres AOT en cours ;</w:t>
      </w:r>
    </w:p>
    <w:p w14:paraId="5B301633" w14:textId="36FC0352" w:rsidR="008930A3" w:rsidRPr="00D34E27" w:rsidRDefault="008930A3" w:rsidP="008930A3">
      <w:pPr>
        <w:pStyle w:val="Listeavectirets"/>
        <w:numPr>
          <w:ilvl w:val="0"/>
          <w:numId w:val="11"/>
        </w:numPr>
        <w:spacing w:before="240" w:after="240"/>
      </w:pPr>
      <w:proofErr w:type="gramStart"/>
      <w:r>
        <w:t>le</w:t>
      </w:r>
      <w:proofErr w:type="gramEnd"/>
      <w:r>
        <w:t xml:space="preserve"> cas échéant,</w:t>
      </w:r>
      <w:r w:rsidRPr="00317CA7">
        <w:t xml:space="preserve"> tout élément apportant</w:t>
      </w:r>
      <w:r>
        <w:t xml:space="preserve"> </w:t>
      </w:r>
      <w:r w:rsidRPr="00317CA7">
        <w:t>des preuves factuelles d</w:t>
      </w:r>
      <w:r>
        <w:t>es démarches engagées en vue de concertation ou de</w:t>
      </w:r>
      <w:r w:rsidRPr="00317CA7">
        <w:t xml:space="preserve"> coordination </w:t>
      </w:r>
      <w:r>
        <w:t xml:space="preserve">avec </w:t>
      </w:r>
      <w:r w:rsidRPr="00317CA7">
        <w:t xml:space="preserve">les </w:t>
      </w:r>
      <w:r>
        <w:t xml:space="preserve">autres </w:t>
      </w:r>
      <w:r w:rsidRPr="00317CA7">
        <w:t>AOT</w:t>
      </w:r>
      <w:r>
        <w:t xml:space="preserve"> concernées par des appels d’offres en cours</w:t>
      </w:r>
      <w:r w:rsidRPr="00317CA7">
        <w:t>.</w:t>
      </w:r>
    </w:p>
    <w:p w14:paraId="5ED08595" w14:textId="77777777" w:rsidR="008930A3" w:rsidRPr="00FC307D" w:rsidRDefault="008930A3" w:rsidP="00F56993">
      <w:pPr>
        <w:pStyle w:val="Paragraphenumrot"/>
        <w:spacing w:before="240" w:after="240"/>
        <w:ind w:left="284" w:hanging="360"/>
      </w:pPr>
      <w:r w:rsidRPr="00D80E81">
        <w:t>Dans le cas où la circonstance exceptionnelle réside dans la nécessité de procéder à des modifications du champ d’application d’un ou de plusieurs contrats</w:t>
      </w:r>
      <w:r w:rsidRPr="00FC307D">
        <w:t xml:space="preserve"> de service public pour optimiser l’offre de services publics</w:t>
      </w:r>
      <w:r>
        <w:t>,</w:t>
      </w:r>
      <w:r w:rsidRPr="00FC307D">
        <w:t xml:space="preserve"> </w:t>
      </w:r>
      <w:r>
        <w:t xml:space="preserve">doivent être fournis à l’Autorité : </w:t>
      </w:r>
    </w:p>
    <w:p w14:paraId="00A183EB" w14:textId="77777777" w:rsidR="008930A3" w:rsidRDefault="008930A3" w:rsidP="008930A3">
      <w:pPr>
        <w:pStyle w:val="Listeavectirets"/>
        <w:numPr>
          <w:ilvl w:val="0"/>
          <w:numId w:val="11"/>
        </w:numPr>
        <w:spacing w:before="240" w:after="240"/>
      </w:pPr>
      <w:proofErr w:type="gramStart"/>
      <w:r w:rsidRPr="00317CA7">
        <w:t>le</w:t>
      </w:r>
      <w:proofErr w:type="gramEnd"/>
      <w:r>
        <w:t xml:space="preserve"> ou le</w:t>
      </w:r>
      <w:r w:rsidRPr="00317CA7">
        <w:t xml:space="preserve">s contrats actuels de </w:t>
      </w:r>
      <w:r>
        <w:t>service public</w:t>
      </w:r>
      <w:r w:rsidRPr="00317CA7">
        <w:t xml:space="preserve"> couvrant </w:t>
      </w:r>
      <w:r>
        <w:t xml:space="preserve">le ou </w:t>
      </w:r>
      <w:r w:rsidRPr="00317CA7">
        <w:t>les lots dont le champ d’application est à redéfinir ;</w:t>
      </w:r>
    </w:p>
    <w:p w14:paraId="4F4E793B" w14:textId="77777777" w:rsidR="008930A3" w:rsidRPr="00D96A34" w:rsidRDefault="008930A3" w:rsidP="008930A3">
      <w:pPr>
        <w:pStyle w:val="Listeavectirets"/>
        <w:numPr>
          <w:ilvl w:val="0"/>
          <w:numId w:val="11"/>
        </w:numPr>
        <w:spacing w:before="240" w:after="240"/>
      </w:pPr>
      <w:proofErr w:type="gramStart"/>
      <w:r w:rsidRPr="00D96A34">
        <w:t>une</w:t>
      </w:r>
      <w:proofErr w:type="gramEnd"/>
      <w:r w:rsidRPr="00D96A34">
        <w:t xml:space="preserve"> note expliquant les modifications envisagées et leur caractère nécessaire pour optimiser l’offre de servic</w:t>
      </w:r>
      <w:r w:rsidRPr="00555097">
        <w:t>e </w:t>
      </w:r>
      <w:r w:rsidRPr="001F47A6">
        <w:t>;</w:t>
      </w:r>
    </w:p>
    <w:p w14:paraId="108DA261" w14:textId="7D183B60" w:rsidR="008930A3" w:rsidRPr="00FC307D" w:rsidRDefault="008930A3" w:rsidP="008930A3">
      <w:pPr>
        <w:pStyle w:val="Listeavectirets"/>
        <w:numPr>
          <w:ilvl w:val="0"/>
          <w:numId w:val="11"/>
        </w:numPr>
        <w:spacing w:before="240" w:after="240"/>
      </w:pPr>
      <w:proofErr w:type="gramStart"/>
      <w:r w:rsidRPr="00317CA7">
        <w:t>les</w:t>
      </w:r>
      <w:proofErr w:type="gramEnd"/>
      <w:r w:rsidRPr="00317CA7">
        <w:t xml:space="preserve"> études </w:t>
      </w:r>
      <w:r w:rsidRPr="1C958EA2">
        <w:t xml:space="preserve">économiques, d’exploitation et capacitaires </w:t>
      </w:r>
      <w:r w:rsidRPr="00317CA7">
        <w:t>justifiant le recours aux motifs de modifications du champ des contrats ;</w:t>
      </w:r>
    </w:p>
    <w:p w14:paraId="37A70B00"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Pour les autres circonstances exceptionnelles invoquées :</w:t>
      </w:r>
    </w:p>
    <w:p w14:paraId="1E5DCF67"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une</w:t>
      </w:r>
      <w:proofErr w:type="gramEnd"/>
      <w:r w:rsidRPr="00F56993">
        <w:rPr>
          <w:rFonts w:asciiTheme="majorHAnsi" w:hAnsiTheme="majorHAnsi"/>
        </w:rPr>
        <w:t xml:space="preserve"> note détaillée (i) présentant le contexte et la circonstance exceptionnelle invoquée et (ii) justifiant de sa réalité et de son caractère à la fois objectif et exceptionnel ;</w:t>
      </w:r>
    </w:p>
    <w:p w14:paraId="0FEA5213"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une</w:t>
      </w:r>
      <w:proofErr w:type="gramEnd"/>
      <w:r w:rsidRPr="00F56993">
        <w:rPr>
          <w:rFonts w:asciiTheme="majorHAnsi" w:hAnsiTheme="majorHAnsi"/>
        </w:rPr>
        <w:t xml:space="preserve"> note accompagnée de toutes les justifications utiles expliquant en quoi cette circonstance empêche toute procédure de mise en concurrence ;</w:t>
      </w:r>
    </w:p>
    <w:p w14:paraId="23D2EF85" w14:textId="23029531" w:rsidR="008930A3" w:rsidRDefault="008930A3" w:rsidP="008930A3">
      <w:pPr>
        <w:pStyle w:val="Listeavectirets"/>
        <w:numPr>
          <w:ilvl w:val="0"/>
          <w:numId w:val="11"/>
        </w:numPr>
        <w:spacing w:before="240" w:after="240"/>
      </w:pPr>
      <w:proofErr w:type="gramStart"/>
      <w:r>
        <w:lastRenderedPageBreak/>
        <w:t>une</w:t>
      </w:r>
      <w:proofErr w:type="gramEnd"/>
      <w:r w:rsidRPr="00317CA7">
        <w:t xml:space="preserve"> note justifiant de ce que l’attribution directe permet, compte tenu de la circonstance exceptionnelle invoquée, l’exécution du service la plus efficace </w:t>
      </w:r>
      <w:r>
        <w:t>possible</w:t>
      </w:r>
      <w:r w:rsidRPr="00317CA7">
        <w:t xml:space="preserve"> au regard des co</w:t>
      </w:r>
      <w:r>
        <w:t>û</w:t>
      </w:r>
      <w:r w:rsidRPr="00317CA7">
        <w:t>ts</w:t>
      </w:r>
      <w:r>
        <w:t>.</w:t>
      </w:r>
    </w:p>
    <w:p w14:paraId="6D0FF640"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L’Autorité devant publier l’ensemble du dossier de saisine en application de l’article 3 du décret du 15 juin 2020 susvisé, l’AOT transmettra une version non confidentielle du dossier de saisine, expurgée des secrets protégés par la loi, comportant l’ensemble des documents listés aux points 28 à 32.</w:t>
      </w:r>
    </w:p>
    <w:p w14:paraId="3C48A9E9" w14:textId="77777777" w:rsidR="00EB1D16" w:rsidRPr="00F56993" w:rsidRDefault="00EB1D16" w:rsidP="00F56993">
      <w:pPr>
        <w:pStyle w:val="Titre1"/>
        <w:spacing w:before="360"/>
        <w:ind w:left="425" w:hanging="425"/>
        <w:rPr>
          <w:rFonts w:asciiTheme="majorHAnsi" w:hAnsiTheme="majorHAnsi"/>
        </w:rPr>
      </w:pPr>
      <w:bookmarkStart w:id="77" w:name="_Toc152250278"/>
      <w:bookmarkStart w:id="78" w:name="_Toc155369095"/>
      <w:bookmarkStart w:id="79" w:name="_Toc156841779"/>
      <w:bookmarkStart w:id="80" w:name="_Toc160043533"/>
      <w:r w:rsidRPr="00F56993">
        <w:rPr>
          <w:rFonts w:asciiTheme="majorHAnsi" w:hAnsiTheme="majorHAnsi"/>
        </w:rPr>
        <w:t>L’Autorité émet un avis conforme sur les demandes de Dérogation liées à l’existence de Caractéristiques structurelles et géographiques du marché et du réseau</w:t>
      </w:r>
      <w:bookmarkEnd w:id="77"/>
      <w:bookmarkEnd w:id="78"/>
      <w:bookmarkEnd w:id="79"/>
      <w:bookmarkEnd w:id="80"/>
    </w:p>
    <w:p w14:paraId="4AAB31A7" w14:textId="77777777" w:rsidR="00EB1D16" w:rsidRPr="00F56993" w:rsidRDefault="00EB1D16" w:rsidP="00F56993">
      <w:pPr>
        <w:pStyle w:val="Titre2"/>
        <w:spacing w:before="360" w:after="0"/>
        <w:ind w:left="850" w:hanging="425"/>
        <w:rPr>
          <w:rFonts w:asciiTheme="majorHAnsi" w:hAnsiTheme="majorHAnsi"/>
        </w:rPr>
      </w:pPr>
      <w:bookmarkStart w:id="81" w:name="_Toc156841780"/>
      <w:bookmarkStart w:id="82" w:name="_Toc160043534"/>
      <w:r w:rsidRPr="00F56993">
        <w:rPr>
          <w:rFonts w:asciiTheme="majorHAnsi" w:hAnsiTheme="majorHAnsi"/>
        </w:rPr>
        <w:t>Le règlement OSP pose deux conditions cumulatives pour recourir à cette dérogation, liée à la performance des services publics de transport</w:t>
      </w:r>
      <w:bookmarkEnd w:id="81"/>
      <w:bookmarkEnd w:id="82"/>
      <w:r w:rsidRPr="00F56993">
        <w:rPr>
          <w:rFonts w:asciiTheme="majorHAnsi" w:hAnsiTheme="majorHAnsi"/>
        </w:rPr>
        <w:t xml:space="preserve"> </w:t>
      </w:r>
    </w:p>
    <w:p w14:paraId="249C9DA0" w14:textId="77777777" w:rsidR="00EB1D16" w:rsidRPr="00F56993" w:rsidRDefault="00EB1D16" w:rsidP="00EB1D16">
      <w:pPr>
        <w:pStyle w:val="Paragraphenumrot"/>
        <w:spacing w:before="240" w:after="240"/>
        <w:ind w:left="284" w:hanging="360"/>
        <w:rPr>
          <w:rFonts w:asciiTheme="majorHAnsi" w:hAnsiTheme="majorHAnsi"/>
          <w:i/>
          <w:iCs/>
        </w:rPr>
      </w:pPr>
      <w:r w:rsidRPr="00F56993">
        <w:rPr>
          <w:rFonts w:asciiTheme="majorHAnsi" w:hAnsiTheme="majorHAnsi"/>
        </w:rPr>
        <w:t xml:space="preserve">Selon l’article 5, paragraphe 4 </w:t>
      </w:r>
      <w:r w:rsidRPr="00F56993">
        <w:rPr>
          <w:rFonts w:asciiTheme="majorHAnsi" w:hAnsiTheme="majorHAnsi"/>
          <w:i/>
          <w:iCs/>
        </w:rPr>
        <w:t>bis</w:t>
      </w:r>
      <w:r w:rsidRPr="00F56993">
        <w:rPr>
          <w:rFonts w:asciiTheme="majorHAnsi" w:hAnsiTheme="majorHAnsi"/>
        </w:rPr>
        <w:t>, du règlement OSP : « </w:t>
      </w:r>
      <w:r w:rsidRPr="00F56993">
        <w:rPr>
          <w:rFonts w:asciiTheme="majorHAnsi" w:hAnsiTheme="majorHAnsi"/>
          <w:i/>
          <w:iCs/>
        </w:rPr>
        <w:t>Sauf interdiction en vertu du droit national, l’autorité compétente peut décider d'attribuer directement des contrats de service public relatifs à des services publics de transport de voyageurs par chemin de fer :</w:t>
      </w:r>
    </w:p>
    <w:p w14:paraId="2757C151" w14:textId="77777777" w:rsidR="00EB1D16" w:rsidRPr="00F56993" w:rsidRDefault="00EB1D16" w:rsidP="00EB1D16">
      <w:pPr>
        <w:pStyle w:val="Paragraphenumrot"/>
        <w:numPr>
          <w:ilvl w:val="0"/>
          <w:numId w:val="0"/>
        </w:numPr>
        <w:ind w:left="641"/>
        <w:rPr>
          <w:rFonts w:asciiTheme="majorHAnsi" w:hAnsiTheme="majorHAnsi"/>
          <w:i/>
          <w:iCs/>
        </w:rPr>
      </w:pPr>
      <w:r w:rsidRPr="00F56993">
        <w:rPr>
          <w:rFonts w:asciiTheme="majorHAnsi" w:hAnsiTheme="majorHAnsi"/>
          <w:i/>
          <w:iCs/>
        </w:rPr>
        <w:t xml:space="preserve">a) lorsqu'elle considère que l'attribution directe est justifiée par </w:t>
      </w:r>
      <w:r w:rsidRPr="00F56993">
        <w:rPr>
          <w:rFonts w:asciiTheme="majorHAnsi" w:hAnsiTheme="majorHAnsi"/>
          <w:i/>
          <w:iCs/>
          <w:u w:val="single"/>
        </w:rPr>
        <w:t>les caractéristiques structurelles et géographiques pertinentes du marché et du réseau concernés</w:t>
      </w:r>
      <w:r w:rsidRPr="00F56993">
        <w:rPr>
          <w:rFonts w:asciiTheme="majorHAnsi" w:hAnsiTheme="majorHAnsi"/>
          <w:i/>
          <w:iCs/>
        </w:rPr>
        <w:t xml:space="preserve">, et notamment leur taille, les caractéristiques de la demande, la complexité du réseau, son isolement technique et géographique et les services couverts par le contrat </w:t>
      </w:r>
      <w:r w:rsidRPr="00F56993">
        <w:rPr>
          <w:rFonts w:asciiTheme="majorHAnsi" w:hAnsiTheme="majorHAnsi"/>
          <w:b/>
          <w:i/>
          <w:iCs/>
          <w:u w:val="single"/>
        </w:rPr>
        <w:t>et</w:t>
      </w:r>
    </w:p>
    <w:p w14:paraId="6CA0111F" w14:textId="77777777" w:rsidR="00EB1D16" w:rsidRPr="00F56993" w:rsidRDefault="00EB1D16" w:rsidP="00EB1D16">
      <w:pPr>
        <w:pStyle w:val="Paragraphenumrot"/>
        <w:numPr>
          <w:ilvl w:val="0"/>
          <w:numId w:val="0"/>
        </w:numPr>
        <w:ind w:left="641"/>
        <w:rPr>
          <w:rFonts w:asciiTheme="majorHAnsi" w:hAnsiTheme="majorHAnsi"/>
        </w:rPr>
      </w:pPr>
      <w:r w:rsidRPr="00F56993">
        <w:rPr>
          <w:rFonts w:asciiTheme="majorHAnsi" w:hAnsiTheme="majorHAnsi"/>
          <w:i/>
          <w:iCs/>
        </w:rPr>
        <w:t xml:space="preserve">b) lorsqu'un tel contrat </w:t>
      </w:r>
      <w:r w:rsidRPr="00F56993">
        <w:rPr>
          <w:rFonts w:asciiTheme="majorHAnsi" w:hAnsiTheme="majorHAnsi"/>
          <w:i/>
          <w:iCs/>
          <w:u w:val="single"/>
        </w:rPr>
        <w:t>aurait pour effet d'améliorer la qualité des services ou le rapport coût-efficacité,</w:t>
      </w:r>
      <w:r w:rsidRPr="00F56993">
        <w:rPr>
          <w:rFonts w:asciiTheme="majorHAnsi" w:hAnsiTheme="majorHAnsi"/>
          <w:i/>
          <w:iCs/>
        </w:rPr>
        <w:t xml:space="preserve"> ou les deux, par rapport au précédent contrat de service public attribué</w:t>
      </w:r>
      <w:r w:rsidRPr="00F56993">
        <w:rPr>
          <w:rFonts w:asciiTheme="majorHAnsi" w:hAnsiTheme="majorHAnsi"/>
        </w:rPr>
        <w:t xml:space="preserve"> » (soulignements ajoutés).</w:t>
      </w:r>
    </w:p>
    <w:p w14:paraId="53BDC427"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En ce qui concerne la première condition relative à l’existence de « </w:t>
      </w:r>
      <w:r w:rsidRPr="00F56993">
        <w:rPr>
          <w:rFonts w:asciiTheme="majorHAnsi" w:hAnsiTheme="majorHAnsi"/>
          <w:i/>
          <w:iCs/>
        </w:rPr>
        <w:t xml:space="preserve">caractéristiques géographiques et structurelles </w:t>
      </w:r>
      <w:r w:rsidRPr="00F56993">
        <w:rPr>
          <w:rFonts w:asciiTheme="majorHAnsi" w:hAnsiTheme="majorHAnsi"/>
        </w:rPr>
        <w:t>», le règlement OSP évoque notamment la taille du marché et du réseau, les caractéristiques de la demande, la complexité du réseau, son isolement technique et géographique et les services couverts par le contrat.</w:t>
      </w:r>
    </w:p>
    <w:p w14:paraId="321AE99B"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Dans ses lignes directrices du 26 juin 2023 susvisées</w:t>
      </w:r>
      <w:r w:rsidRPr="00F56993">
        <w:rPr>
          <w:rStyle w:val="Appelnotedebasdep"/>
          <w:rFonts w:asciiTheme="majorHAnsi" w:hAnsiTheme="majorHAnsi"/>
        </w:rPr>
        <w:footnoteReference w:id="14"/>
      </w:r>
      <w:r w:rsidRPr="00F56993">
        <w:rPr>
          <w:rFonts w:asciiTheme="majorHAnsi" w:hAnsiTheme="majorHAnsi"/>
        </w:rPr>
        <w:t>, la Commission a précisé que « sans préjudice de l’appréciation de chaque situation au cas par cas, elle interprète les caractéristiques pertinentes et leur quantification comme suit :</w:t>
      </w:r>
    </w:p>
    <w:p w14:paraId="4D80A631" w14:textId="77777777" w:rsidR="00EB1D16" w:rsidRPr="00F56993" w:rsidRDefault="00EB1D16" w:rsidP="00EB1D16">
      <w:pPr>
        <w:pStyle w:val="Listeavectirets"/>
        <w:numPr>
          <w:ilvl w:val="0"/>
          <w:numId w:val="11"/>
        </w:numPr>
        <w:spacing w:before="240" w:after="240"/>
        <w:rPr>
          <w:rFonts w:asciiTheme="majorHAnsi" w:hAnsiTheme="majorHAnsi"/>
        </w:rPr>
      </w:pPr>
      <w:r w:rsidRPr="00F56993">
        <w:rPr>
          <w:rFonts w:asciiTheme="majorHAnsi" w:hAnsiTheme="majorHAnsi"/>
          <w:i/>
          <w:iCs/>
        </w:rPr>
        <w:t xml:space="preserve">Il convient d’exprimer la </w:t>
      </w:r>
      <w:r w:rsidRPr="00F56993">
        <w:rPr>
          <w:rFonts w:asciiTheme="majorHAnsi" w:hAnsiTheme="majorHAnsi"/>
          <w:b/>
          <w:bCs/>
          <w:i/>
          <w:iCs/>
        </w:rPr>
        <w:t>taille du marché</w:t>
      </w:r>
      <w:r w:rsidRPr="00F56993">
        <w:rPr>
          <w:rFonts w:asciiTheme="majorHAnsi" w:hAnsiTheme="majorHAnsi"/>
          <w:i/>
          <w:iCs/>
        </w:rPr>
        <w:t xml:space="preserve"> en kilomètres-train, et celle du réseau en kilomètres de voie ferrée.</w:t>
      </w:r>
    </w:p>
    <w:p w14:paraId="5B747932" w14:textId="77777777" w:rsidR="00EB1D16" w:rsidRPr="00F56993" w:rsidRDefault="00EB1D16" w:rsidP="00EB1D16">
      <w:pPr>
        <w:pStyle w:val="Listeavectirets"/>
        <w:numPr>
          <w:ilvl w:val="0"/>
          <w:numId w:val="11"/>
        </w:numPr>
        <w:spacing w:before="240" w:after="240"/>
        <w:rPr>
          <w:rFonts w:asciiTheme="majorHAnsi" w:hAnsiTheme="majorHAnsi"/>
          <w:i/>
          <w:iCs/>
        </w:rPr>
      </w:pPr>
      <w:r w:rsidRPr="00F56993">
        <w:rPr>
          <w:rFonts w:asciiTheme="majorHAnsi" w:hAnsiTheme="majorHAnsi"/>
          <w:i/>
          <w:iCs/>
        </w:rPr>
        <w:t xml:space="preserve">La </w:t>
      </w:r>
      <w:r w:rsidRPr="00F56993">
        <w:rPr>
          <w:rFonts w:asciiTheme="majorHAnsi" w:hAnsiTheme="majorHAnsi"/>
          <w:b/>
          <w:bCs/>
          <w:i/>
          <w:iCs/>
        </w:rPr>
        <w:t>complexité du réseau</w:t>
      </w:r>
      <w:r w:rsidRPr="00F56993">
        <w:rPr>
          <w:rFonts w:asciiTheme="majorHAnsi" w:hAnsiTheme="majorHAnsi"/>
          <w:i/>
          <w:iCs/>
        </w:rPr>
        <w:t xml:space="preserve"> peut être caractérisée, par exemple, par la présence de nombreux nœuds intermodaux, comme c’est souvent le cas au sein des réseaux locaux ou des réseaux de banlieue.</w:t>
      </w:r>
    </w:p>
    <w:p w14:paraId="1E5A5360" w14:textId="77777777" w:rsidR="00EB1D16" w:rsidRPr="00F56993" w:rsidRDefault="00EB1D16" w:rsidP="00EB1D16">
      <w:pPr>
        <w:pStyle w:val="Listeavectirets"/>
        <w:numPr>
          <w:ilvl w:val="0"/>
          <w:numId w:val="11"/>
        </w:numPr>
        <w:spacing w:before="240" w:after="240"/>
        <w:rPr>
          <w:rFonts w:asciiTheme="majorHAnsi" w:hAnsiTheme="majorHAnsi"/>
          <w:i/>
          <w:iCs/>
        </w:rPr>
      </w:pPr>
      <w:r w:rsidRPr="00F56993">
        <w:rPr>
          <w:rFonts w:asciiTheme="majorHAnsi" w:hAnsiTheme="majorHAnsi"/>
          <w:i/>
          <w:iCs/>
        </w:rPr>
        <w:t xml:space="preserve">La notion </w:t>
      </w:r>
      <w:r w:rsidRPr="00F56993">
        <w:rPr>
          <w:rFonts w:asciiTheme="majorHAnsi" w:hAnsiTheme="majorHAnsi"/>
          <w:b/>
          <w:bCs/>
          <w:i/>
          <w:iCs/>
        </w:rPr>
        <w:t>d’isolement technique</w:t>
      </w:r>
      <w:r w:rsidRPr="00F56993">
        <w:rPr>
          <w:rFonts w:asciiTheme="majorHAnsi" w:hAnsiTheme="majorHAnsi"/>
          <w:i/>
          <w:iCs/>
        </w:rPr>
        <w:t xml:space="preserve"> peut, par exemple, désigner une situation dans laquelle les principaux éléments constituant le réseau s’écartent des normes de l’UE telles que les spécifications techniques d’interopérabilité.  </w:t>
      </w:r>
    </w:p>
    <w:p w14:paraId="0A3D460C" w14:textId="77777777" w:rsidR="00EB1D16" w:rsidRPr="00F56993" w:rsidRDefault="00EB1D16" w:rsidP="00EB1D16">
      <w:pPr>
        <w:pStyle w:val="Listeavectirets"/>
        <w:numPr>
          <w:ilvl w:val="0"/>
          <w:numId w:val="11"/>
        </w:numPr>
        <w:spacing w:before="240" w:after="240"/>
        <w:rPr>
          <w:rFonts w:asciiTheme="majorHAnsi" w:hAnsiTheme="majorHAnsi"/>
          <w:i/>
          <w:iCs/>
        </w:rPr>
      </w:pPr>
      <w:r w:rsidRPr="00F56993">
        <w:rPr>
          <w:rFonts w:asciiTheme="majorHAnsi" w:hAnsiTheme="majorHAnsi"/>
          <w:b/>
          <w:bCs/>
          <w:i/>
          <w:iCs/>
        </w:rPr>
        <w:t>L’isolement géographique</w:t>
      </w:r>
      <w:r w:rsidRPr="00F56993">
        <w:rPr>
          <w:rFonts w:asciiTheme="majorHAnsi" w:hAnsiTheme="majorHAnsi"/>
          <w:i/>
          <w:iCs/>
        </w:rPr>
        <w:t xml:space="preserve"> peut signifier pour certains réseaux qu’ils ne sont pas reliés physiquement aux réseaux voisins, par exemple lorsqu’ils sont situés sur une île. </w:t>
      </w:r>
    </w:p>
    <w:p w14:paraId="6BB4E85D" w14:textId="77777777" w:rsidR="00EB1D16" w:rsidRPr="00F56993" w:rsidRDefault="00EB1D16" w:rsidP="00EB1D16">
      <w:pPr>
        <w:pStyle w:val="Listeavectirets"/>
        <w:numPr>
          <w:ilvl w:val="0"/>
          <w:numId w:val="11"/>
        </w:numPr>
        <w:spacing w:before="240" w:after="240"/>
        <w:rPr>
          <w:rFonts w:asciiTheme="majorHAnsi" w:hAnsiTheme="majorHAnsi"/>
        </w:rPr>
      </w:pPr>
      <w:r w:rsidRPr="00F56993">
        <w:rPr>
          <w:rFonts w:asciiTheme="majorHAnsi" w:hAnsiTheme="majorHAnsi"/>
          <w:i/>
          <w:iCs/>
        </w:rPr>
        <w:lastRenderedPageBreak/>
        <w:t xml:space="preserve">L’expression </w:t>
      </w:r>
      <w:r w:rsidRPr="00F56993">
        <w:rPr>
          <w:rFonts w:asciiTheme="majorHAnsi" w:hAnsiTheme="majorHAnsi"/>
          <w:b/>
          <w:bCs/>
          <w:i/>
          <w:iCs/>
        </w:rPr>
        <w:t>« services couverts par le contrat »</w:t>
      </w:r>
      <w:r w:rsidRPr="00F56993">
        <w:rPr>
          <w:rFonts w:asciiTheme="majorHAnsi" w:hAnsiTheme="majorHAnsi"/>
          <w:i/>
          <w:iCs/>
        </w:rPr>
        <w:t xml:space="preserve"> peut, par exemple, faire référence à une « valeur stratégique » attribuée à ces services</w:t>
      </w:r>
      <w:r w:rsidRPr="00F56993">
        <w:rPr>
          <w:rFonts w:asciiTheme="majorHAnsi" w:hAnsiTheme="majorHAnsi"/>
        </w:rPr>
        <w:t> ».</w:t>
      </w:r>
    </w:p>
    <w:p w14:paraId="291015F5"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b/>
          <w:bCs/>
        </w:rPr>
        <w:t>Cette liste n’est pas exhaustive</w:t>
      </w:r>
      <w:r w:rsidRPr="00F56993">
        <w:rPr>
          <w:rFonts w:asciiTheme="majorHAnsi" w:hAnsiTheme="majorHAnsi"/>
        </w:rPr>
        <w:t>, d’autres caractéristiques du marché et du réseau pouvant être invoquées sous réserve de justifier le recours à une attribution directe. Les lignes directrices précitées de la Commission européenne précisent en ce sens que « </w:t>
      </w:r>
      <w:r w:rsidRPr="00F56993">
        <w:rPr>
          <w:rFonts w:asciiTheme="majorHAnsi" w:hAnsiTheme="majorHAnsi"/>
          <w:i/>
          <w:iCs/>
        </w:rPr>
        <w:t>l’essentiel n’est pas tant le nombre ni la nature des caractéristiques invoquées par l’État membre, mais la démonstration qu’en l’espèce, ces caractéristiques justifient objectivement le recours à une attribution directe plutôt qu’à une mise en concurrence »</w:t>
      </w:r>
      <w:r w:rsidRPr="00F56993">
        <w:rPr>
          <w:rStyle w:val="Appelnotedebasdep"/>
          <w:rFonts w:asciiTheme="majorHAnsi" w:hAnsiTheme="majorHAnsi"/>
          <w:i/>
          <w:iCs/>
        </w:rPr>
        <w:footnoteReference w:id="15"/>
      </w:r>
      <w:r w:rsidRPr="00F56993">
        <w:rPr>
          <w:rFonts w:asciiTheme="majorHAnsi" w:hAnsiTheme="majorHAnsi"/>
        </w:rPr>
        <w:t>.</w:t>
      </w:r>
    </w:p>
    <w:p w14:paraId="692711D9"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 xml:space="preserve">En ce qui concerne la seconde condition prévue par l’article 5, paragraphe 4 </w:t>
      </w:r>
      <w:r w:rsidRPr="00F56993">
        <w:rPr>
          <w:rFonts w:asciiTheme="majorHAnsi" w:hAnsiTheme="majorHAnsi"/>
          <w:i/>
        </w:rPr>
        <w:t>bis</w:t>
      </w:r>
      <w:r w:rsidRPr="00F56993">
        <w:rPr>
          <w:rFonts w:asciiTheme="majorHAnsi" w:hAnsiTheme="majorHAnsi"/>
        </w:rPr>
        <w:t xml:space="preserve"> du règlement OSP relative à l'amélioration de la qualité des services, du rapport coût-efficacité ou des deux, il est expressément prévu que l’amélioration doit être « </w:t>
      </w:r>
      <w:r w:rsidRPr="00F56993">
        <w:rPr>
          <w:rFonts w:asciiTheme="majorHAnsi" w:hAnsiTheme="majorHAnsi"/>
          <w:i/>
        </w:rPr>
        <w:t>significative</w:t>
      </w:r>
      <w:r w:rsidRPr="00F56993">
        <w:rPr>
          <w:rFonts w:asciiTheme="majorHAnsi" w:hAnsiTheme="majorHAnsi"/>
        </w:rPr>
        <w:t> »</w:t>
      </w:r>
      <w:r w:rsidRPr="00F56993">
        <w:rPr>
          <w:rStyle w:val="Appelnotedebasdep"/>
          <w:rFonts w:asciiTheme="majorHAnsi" w:hAnsiTheme="majorHAnsi"/>
          <w:b/>
          <w:bCs/>
        </w:rPr>
        <w:footnoteReference w:id="16"/>
      </w:r>
      <w:r w:rsidRPr="00F56993">
        <w:rPr>
          <w:rFonts w:asciiTheme="majorHAnsi" w:hAnsiTheme="majorHAnsi"/>
        </w:rPr>
        <w:t xml:space="preserve">. </w:t>
      </w:r>
    </w:p>
    <w:p w14:paraId="1AE4945E"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Cet article précise que les exigences en matière de performance portent en particulier sur « la ponctualité des services, la fréquence des circulations ferroviaires, la qualité du matériel roulant, et les capacités de transport pour les voyageurs ».</w:t>
      </w:r>
    </w:p>
    <w:p w14:paraId="4E1C8827"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Par ailleurs, il</w:t>
      </w:r>
      <w:r w:rsidRPr="00F56993" w:rsidDel="008C44E2">
        <w:rPr>
          <w:rFonts w:asciiTheme="majorHAnsi" w:hAnsiTheme="majorHAnsi"/>
        </w:rPr>
        <w:t xml:space="preserve"> </w:t>
      </w:r>
      <w:r w:rsidRPr="00F56993">
        <w:rPr>
          <w:rFonts w:asciiTheme="majorHAnsi" w:hAnsiTheme="majorHAnsi"/>
        </w:rPr>
        <w:t xml:space="preserve">fixe des obligations quant au </w:t>
      </w:r>
      <w:r w:rsidRPr="00F56993">
        <w:rPr>
          <w:rFonts w:asciiTheme="majorHAnsi" w:hAnsiTheme="majorHAnsi"/>
          <w:b/>
          <w:bCs/>
        </w:rPr>
        <w:t>contenu</w:t>
      </w:r>
      <w:r w:rsidRPr="00F56993">
        <w:rPr>
          <w:rFonts w:asciiTheme="majorHAnsi" w:hAnsiTheme="majorHAnsi"/>
        </w:rPr>
        <w:t xml:space="preserve"> du contrat de service public attribué directement pour assurer qu’il permette une amélioration de la performance :</w:t>
      </w:r>
    </w:p>
    <w:p w14:paraId="37A02E3D"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le</w:t>
      </w:r>
      <w:proofErr w:type="gramEnd"/>
      <w:r w:rsidRPr="00F56993">
        <w:rPr>
          <w:rFonts w:asciiTheme="majorHAnsi" w:hAnsiTheme="majorHAnsi"/>
        </w:rPr>
        <w:t xml:space="preserve"> contrat doit définir des exigences en matière de performance mesurables, transparentes et vérifiables ;</w:t>
      </w:r>
    </w:p>
    <w:p w14:paraId="171AAD7C"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il</w:t>
      </w:r>
      <w:proofErr w:type="gramEnd"/>
      <w:r w:rsidRPr="00F56993">
        <w:rPr>
          <w:rFonts w:asciiTheme="majorHAnsi" w:hAnsiTheme="majorHAnsi"/>
        </w:rPr>
        <w:t xml:space="preserve"> doit contenir des indicateurs de performance permettant à l’AOT d’effectuer des évaluations périodiques ainsi que des mesures dissuasives en cas de non atteinte des objectifs et ;</w:t>
      </w:r>
    </w:p>
    <w:p w14:paraId="757E20EC"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l’AOT</w:t>
      </w:r>
      <w:proofErr w:type="gramEnd"/>
      <w:r w:rsidRPr="00F56993">
        <w:rPr>
          <w:rFonts w:asciiTheme="majorHAnsi" w:hAnsiTheme="majorHAnsi"/>
        </w:rPr>
        <w:t xml:space="preserve"> a l’obligation de procéder à des évaluations périodiques (au maximum tous les cinq ans).</w:t>
      </w:r>
    </w:p>
    <w:p w14:paraId="02C1E464"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 xml:space="preserve">La </w:t>
      </w:r>
      <w:r w:rsidRPr="00F56993">
        <w:rPr>
          <w:rFonts w:asciiTheme="majorHAnsi" w:hAnsiTheme="majorHAnsi"/>
          <w:b/>
          <w:bCs/>
        </w:rPr>
        <w:t>charge de la preuve</w:t>
      </w:r>
      <w:r w:rsidRPr="00F56993">
        <w:rPr>
          <w:rFonts w:asciiTheme="majorHAnsi" w:hAnsiTheme="majorHAnsi"/>
        </w:rPr>
        <w:t xml:space="preserve"> est supportée par l’AOT saisissante, de sorte qu’elle devra démontrer le respect des deux conditions précitées.</w:t>
      </w:r>
    </w:p>
    <w:p w14:paraId="63637E1C" w14:textId="77777777" w:rsidR="00EB1D16" w:rsidRPr="00F56993" w:rsidRDefault="00EB1D16" w:rsidP="00EB1D16">
      <w:pPr>
        <w:pStyle w:val="Titre2"/>
        <w:spacing w:after="0"/>
        <w:ind w:left="851" w:hanging="426"/>
        <w:rPr>
          <w:rFonts w:asciiTheme="majorHAnsi" w:eastAsia="Roboto" w:hAnsiTheme="majorHAnsi" w:cs="Roboto"/>
          <w:szCs w:val="21"/>
        </w:rPr>
      </w:pPr>
      <w:bookmarkStart w:id="83" w:name="_Toc152250284"/>
      <w:bookmarkStart w:id="84" w:name="_Toc155369098"/>
      <w:bookmarkStart w:id="85" w:name="_Toc156841781"/>
      <w:bookmarkStart w:id="86" w:name="_Toc160043535"/>
      <w:r w:rsidRPr="00F56993">
        <w:rPr>
          <w:rFonts w:asciiTheme="majorHAnsi" w:hAnsiTheme="majorHAnsi"/>
        </w:rPr>
        <w:t>Dans un premier temps, l’Autorité vérifiera l’existence de « caractéristiques structurelles et géographiques du marché et du réseau » justifiant une attribution directe</w:t>
      </w:r>
      <w:bookmarkEnd w:id="83"/>
      <w:bookmarkEnd w:id="84"/>
      <w:bookmarkEnd w:id="85"/>
      <w:bookmarkEnd w:id="86"/>
    </w:p>
    <w:p w14:paraId="7AE9D156"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En premier lieu, l’AOT saisissante devra apporter la preuve de l’existence d’une ou de plusieurs caractéristique(s) structurelle(s) ou géographique(s) qu’elle invoque sur la portion du réseau faisant l’objet du contrat qu’elle envisage d’attribuer directement. L’Autorité appréciera leur pertinence au cas par cas.</w:t>
      </w:r>
    </w:p>
    <w:p w14:paraId="59AC6782" w14:textId="438A69AA" w:rsidR="00EB1D16" w:rsidRPr="00F56993" w:rsidRDefault="00EB1D16" w:rsidP="008930A3">
      <w:pPr>
        <w:pStyle w:val="Paragraphenumrot"/>
        <w:spacing w:before="240" w:after="240"/>
        <w:ind w:left="284" w:hanging="360"/>
        <w:rPr>
          <w:rFonts w:eastAsia="Franklin Gothic Book"/>
        </w:rPr>
      </w:pPr>
      <w:r w:rsidRPr="00F56993">
        <w:rPr>
          <w:rFonts w:asciiTheme="majorHAnsi" w:hAnsiTheme="majorHAnsi"/>
        </w:rPr>
        <w:t xml:space="preserve">En second lieu, les AOT devront démontrer, sur la base d’éléments objectif et chiffrés, que les caractéristiques structurelles et géographiques invoquées justifient une attribution directe. Pour ce faire, elles pourront notamment produire une analyse socio-économique démontrant que, </w:t>
      </w:r>
      <w:r w:rsidRPr="00F56993">
        <w:rPr>
          <w:rFonts w:asciiTheme="majorHAnsi" w:hAnsiTheme="majorHAnsi"/>
          <w:u w:val="single"/>
        </w:rPr>
        <w:t>compte tenu des caractéristiques invoquées</w:t>
      </w:r>
      <w:r w:rsidRPr="00F56993">
        <w:rPr>
          <w:rFonts w:asciiTheme="majorHAnsi" w:hAnsiTheme="majorHAnsi"/>
        </w:rPr>
        <w:t xml:space="preserve">, l’attribution directe doit être préférée à une mise en concurrence. </w:t>
      </w:r>
      <w:r w:rsidR="008930A3" w:rsidRPr="008930A3">
        <w:rPr>
          <w:rFonts w:eastAsia="Franklin Gothic Book"/>
        </w:rPr>
        <w:t>Cette analyse pourra, le cas échéant, reposer sur la comparaison entre la valeur actuelle nette atten</w:t>
      </w:r>
      <w:r w:rsidR="00F56993">
        <w:rPr>
          <w:rFonts w:eastAsia="Franklin Gothic Book"/>
        </w:rPr>
        <w:t xml:space="preserve">due </w:t>
      </w:r>
      <w:r w:rsidR="008930A3" w:rsidRPr="008930A3">
        <w:rPr>
          <w:rFonts w:eastAsia="Franklin Gothic Book"/>
        </w:rPr>
        <w:t xml:space="preserve">– ou tout autre indicateur équivalent – du service sans mise en concurrence et la valeur actuelle nette – ou tout autre indicateur équivalent – du service après mise en concurrence. Cette analyse pourrait ainsi prendre en compte, d’une part, le coût d’un appel d’offres, d’autre part, le gain anticipé d’une mise en concurrence dans le cas considéré. L’AOT pourra si besoin s’appuyer sur une procédure de mise en concurrence de son lot ou sur un parangonnage de mise en concurrence de lots comparables pour étayer son </w:t>
      </w:r>
      <w:r w:rsidR="008930A3" w:rsidRPr="008930A3">
        <w:rPr>
          <w:rFonts w:eastAsia="Franklin Gothic Book"/>
        </w:rPr>
        <w:lastRenderedPageBreak/>
        <w:t xml:space="preserve">scénario contrefactuel. L’Autorité précise que, dans l’hypothèse où une analyse socio-économique ne serait pas en mesure de refléter les effets sur les conditions d’attribution du contrat de la caractéristique structurelle et géographique invoquée, l’AOT pourra produire toute autre justification appropriée. </w:t>
      </w:r>
    </w:p>
    <w:p w14:paraId="460BD858" w14:textId="76B1EFEE" w:rsidR="00EB1D16" w:rsidRPr="00F56993" w:rsidRDefault="00EB1D16" w:rsidP="00EB1D16">
      <w:pPr>
        <w:pStyle w:val="Titre2"/>
        <w:spacing w:after="0"/>
        <w:ind w:left="851" w:hanging="426"/>
        <w:rPr>
          <w:rFonts w:asciiTheme="majorHAnsi" w:eastAsia="Roboto" w:hAnsiTheme="majorHAnsi" w:cs="Roboto"/>
          <w:szCs w:val="21"/>
        </w:rPr>
      </w:pPr>
      <w:bookmarkStart w:id="87" w:name="_Toc155369099"/>
      <w:bookmarkStart w:id="88" w:name="_Toc156841782"/>
      <w:bookmarkStart w:id="89" w:name="_Toc160043536"/>
      <w:r w:rsidRPr="00F56993">
        <w:rPr>
          <w:rFonts w:asciiTheme="majorHAnsi" w:hAnsiTheme="majorHAnsi"/>
        </w:rPr>
        <w:t xml:space="preserve">Dans un second temps, l’Autorité vérifiera que l’attribution directe améliore </w:t>
      </w:r>
      <w:r w:rsidR="008930A3" w:rsidDel="004E5469">
        <w:t xml:space="preserve">significativement </w:t>
      </w:r>
      <w:r w:rsidR="008930A3" w:rsidRPr="00317CA7">
        <w:t xml:space="preserve">la qualité </w:t>
      </w:r>
      <w:r w:rsidRPr="00F56993">
        <w:rPr>
          <w:rFonts w:asciiTheme="majorHAnsi" w:hAnsiTheme="majorHAnsi"/>
        </w:rPr>
        <w:t>de service ou le rapport coût-efficacité</w:t>
      </w:r>
      <w:bookmarkEnd w:id="87"/>
      <w:r w:rsidRPr="00F56993">
        <w:rPr>
          <w:rFonts w:asciiTheme="majorHAnsi" w:hAnsiTheme="majorHAnsi"/>
        </w:rPr>
        <w:t xml:space="preserve"> ou les deux</w:t>
      </w:r>
      <w:bookmarkEnd w:id="88"/>
      <w:bookmarkEnd w:id="89"/>
    </w:p>
    <w:p w14:paraId="4F7773F2"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 xml:space="preserve">Il revient à l’AOT saisissante de justifier, sur la base d’éléments précis et chiffrés, de l’amélioration </w:t>
      </w:r>
      <w:r w:rsidRPr="00F56993" w:rsidDel="004E5469">
        <w:rPr>
          <w:rFonts w:asciiTheme="majorHAnsi" w:hAnsiTheme="majorHAnsi"/>
        </w:rPr>
        <w:t xml:space="preserve">significative </w:t>
      </w:r>
      <w:r w:rsidRPr="00F56993">
        <w:rPr>
          <w:rFonts w:asciiTheme="majorHAnsi" w:hAnsiTheme="majorHAnsi"/>
        </w:rPr>
        <w:t xml:space="preserve">de la qualité de service ou du rapport coût – efficacité dans le contrat attribué directement par rapport au contrat précédent. </w:t>
      </w:r>
      <w:r w:rsidRPr="00F56993" w:rsidDel="004E5469">
        <w:rPr>
          <w:rFonts w:asciiTheme="majorHAnsi" w:hAnsiTheme="majorHAnsi"/>
        </w:rPr>
        <w:t xml:space="preserve">Le caractère significatif de </w:t>
      </w:r>
      <w:r w:rsidRPr="00F56993">
        <w:rPr>
          <w:rFonts w:asciiTheme="majorHAnsi" w:hAnsiTheme="majorHAnsi"/>
        </w:rPr>
        <w:t>cette amélioration sera apprécié au cas par cas et l’Autorité pourra notamment prendre en compte le niveau de qualité de service et/ou le rapport coût-efficacité du précédent contrat ainsi que le rapport-coût efficacité qui résulterait d’une mise en concurrence en tenant compte de la caractéristique structurelle et géographique invoquée.</w:t>
      </w:r>
    </w:p>
    <w:p w14:paraId="34A7EBCC"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Dans le cadre de son avis conforme, l’Autorité vérifiera que les clauses contractuelles du projet de contrat répondent aux exigences du règlement OSP. Elle pourra effectuer un suivi du projet de contrat pour s’assurer de la bonne inscription des indicateurs et objectifs retenus, des clauses de pénalités financières en cas de non-atteinte des objectifs et de la mise en œuvre des clauses de résiliation en cas de non-atteinte fréquente, trop importante ou insuffisamment justifiée des objectifs. L’AOT adressera à l’Autorité la convention signée contenant ces stipulations.</w:t>
      </w:r>
    </w:p>
    <w:p w14:paraId="290DC5A1" w14:textId="77777777" w:rsidR="00EB1D16" w:rsidRPr="00197FC7" w:rsidRDefault="00EB1D16" w:rsidP="00197FC7">
      <w:pPr>
        <w:pStyle w:val="Titre3"/>
      </w:pPr>
      <w:bookmarkStart w:id="90" w:name="_Toc156841783"/>
      <w:bookmarkStart w:id="91" w:name="_Toc160043537"/>
      <w:r w:rsidRPr="00197FC7">
        <w:t xml:space="preserve">Amélioration </w:t>
      </w:r>
      <w:r w:rsidRPr="00197FC7" w:rsidDel="00FB7016">
        <w:t xml:space="preserve">significative </w:t>
      </w:r>
      <w:r w:rsidRPr="00197FC7">
        <w:t>de la qualité de service par rapport au contrat de service public précédent</w:t>
      </w:r>
      <w:bookmarkEnd w:id="90"/>
      <w:bookmarkEnd w:id="91"/>
    </w:p>
    <w:p w14:paraId="10638722" w14:textId="766819E8" w:rsidR="00EB1D16" w:rsidRPr="00F56993" w:rsidRDefault="008930A3" w:rsidP="00EB1D16">
      <w:pPr>
        <w:pStyle w:val="Paragraphenumrot"/>
        <w:spacing w:before="240" w:after="240"/>
        <w:ind w:left="284" w:hanging="360"/>
        <w:rPr>
          <w:rFonts w:asciiTheme="majorHAnsi" w:hAnsiTheme="majorHAnsi"/>
        </w:rPr>
      </w:pPr>
      <w:r w:rsidRPr="002664AD">
        <w:t>L’</w:t>
      </w:r>
      <w:r>
        <w:t>analyse de l’</w:t>
      </w:r>
      <w:r w:rsidRPr="002664AD">
        <w:t xml:space="preserve">amélioration </w:t>
      </w:r>
      <w:r w:rsidRPr="002664AD" w:rsidDel="00FB7016">
        <w:t xml:space="preserve">significative </w:t>
      </w:r>
      <w:r w:rsidRPr="002664AD">
        <w:t xml:space="preserve">de </w:t>
      </w:r>
      <w:r w:rsidR="00EB1D16" w:rsidRPr="00F56993">
        <w:rPr>
          <w:rFonts w:asciiTheme="majorHAnsi" w:hAnsiTheme="majorHAnsi"/>
        </w:rPr>
        <w:t>de la qualité de service repose sur une comparaison d’indicateurs fiables et utiles entre le contrat en cours et le contrat en voie d’être attribué directement. Ces indicateurs doivent être établis pour le même périmètre géographique que celui de la précédente convention.</w:t>
      </w:r>
    </w:p>
    <w:p w14:paraId="5543EE6E"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Compte tenu des résultats de la consultation publique, l'Autorité appréciera l'évolution prévue de la qualité de service selon les indicateurs fournis par l'AOT, qui peuvent notamment être liés :</w:t>
      </w:r>
    </w:p>
    <w:p w14:paraId="2A1ECBF4"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à</w:t>
      </w:r>
      <w:proofErr w:type="gramEnd"/>
      <w:r w:rsidRPr="00F56993">
        <w:rPr>
          <w:rFonts w:asciiTheme="majorHAnsi" w:hAnsiTheme="majorHAnsi"/>
        </w:rPr>
        <w:t xml:space="preserve"> la </w:t>
      </w:r>
      <w:r w:rsidRPr="00F56993">
        <w:rPr>
          <w:rFonts w:asciiTheme="majorHAnsi" w:hAnsiTheme="majorHAnsi"/>
          <w:b/>
          <w:bCs/>
        </w:rPr>
        <w:t>qualité de service apportée au client</w:t>
      </w:r>
      <w:r w:rsidRPr="00F56993">
        <w:rPr>
          <w:rFonts w:asciiTheme="majorHAnsi" w:hAnsiTheme="majorHAnsi"/>
        </w:rPr>
        <w:t>, tels que le niveau de satisfaction voyageurs, la qualité de l'information voyageurs, la qualité de la relation clientèle, les solutions de substitution, le taux de fraude, ou en l’absence de ces indicateurs, tout autre indicateur présent dans le contrat en cours ;</w:t>
      </w:r>
    </w:p>
    <w:p w14:paraId="7A8308E2"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à</w:t>
      </w:r>
      <w:proofErr w:type="gramEnd"/>
      <w:r w:rsidRPr="00F56993">
        <w:rPr>
          <w:rFonts w:asciiTheme="majorHAnsi" w:hAnsiTheme="majorHAnsi"/>
        </w:rPr>
        <w:t xml:space="preserve"> la </w:t>
      </w:r>
      <w:r w:rsidRPr="00F56993">
        <w:rPr>
          <w:rFonts w:asciiTheme="majorHAnsi" w:hAnsiTheme="majorHAnsi"/>
          <w:b/>
          <w:bCs/>
        </w:rPr>
        <w:t>conformité de l'offre au contrat</w:t>
      </w:r>
      <w:r w:rsidRPr="00F56993">
        <w:rPr>
          <w:rFonts w:asciiTheme="majorHAnsi" w:hAnsiTheme="majorHAnsi"/>
        </w:rPr>
        <w:t>, tels que le niveau d'offre réalisée, le respect des capacités d'emport et des compositions ou en l’absence de ces indicateurs, tout autre indicateur présent dans le contrat en cours ;</w:t>
      </w:r>
    </w:p>
    <w:p w14:paraId="0FF8BD9E" w14:textId="6744DCCA" w:rsidR="00EB1D16" w:rsidRPr="00D16D9D" w:rsidRDefault="00EB1D16" w:rsidP="00D16D9D">
      <w:pPr>
        <w:pStyle w:val="Listeavectirets"/>
        <w:numPr>
          <w:ilvl w:val="0"/>
          <w:numId w:val="0"/>
        </w:numPr>
        <w:ind w:left="1004"/>
      </w:pPr>
      <w:proofErr w:type="gramStart"/>
      <w:r w:rsidRPr="00F56993">
        <w:rPr>
          <w:rFonts w:asciiTheme="majorHAnsi" w:hAnsiTheme="majorHAnsi"/>
        </w:rPr>
        <w:t>à</w:t>
      </w:r>
      <w:proofErr w:type="gramEnd"/>
      <w:r w:rsidRPr="00F56993">
        <w:rPr>
          <w:rFonts w:asciiTheme="majorHAnsi" w:hAnsiTheme="majorHAnsi"/>
        </w:rPr>
        <w:t xml:space="preserve"> la </w:t>
      </w:r>
      <w:r w:rsidRPr="00F56993">
        <w:rPr>
          <w:rFonts w:asciiTheme="majorHAnsi" w:hAnsiTheme="majorHAnsi"/>
          <w:b/>
          <w:bCs/>
        </w:rPr>
        <w:t>qualité de la production</w:t>
      </w:r>
      <w:r w:rsidRPr="00F56993">
        <w:rPr>
          <w:rFonts w:asciiTheme="majorHAnsi" w:hAnsiTheme="majorHAnsi"/>
        </w:rPr>
        <w:t>, tels que le taux de régularité au départ et à l’arrivée (cause entreprise ferroviaire), la propreté et le fonctionnement des équipements, le taux des moyens de substitution assurés ou en l’absence de ces indicateurs, tout autre indicateur présent dans le contrat en cours.</w:t>
      </w:r>
    </w:p>
    <w:p w14:paraId="548EFF15" w14:textId="3AE75265" w:rsidR="00197FC7" w:rsidRDefault="00EB1D16" w:rsidP="00EB1D16">
      <w:pPr>
        <w:pStyle w:val="Paragraphenumrot"/>
        <w:spacing w:before="240" w:after="240"/>
        <w:ind w:hanging="357"/>
        <w:rPr>
          <w:rFonts w:asciiTheme="majorHAnsi" w:hAnsiTheme="majorHAnsi"/>
        </w:rPr>
      </w:pPr>
      <w:r w:rsidRPr="00F56993">
        <w:rPr>
          <w:rFonts w:asciiTheme="majorHAnsi" w:hAnsiTheme="majorHAnsi"/>
        </w:rPr>
        <w:t xml:space="preserve">L’évolution de la qualité de service sera appréciée sur la base d’au moins un indicateur de chaque catégorie prévue par la liste précisée au point 47. </w:t>
      </w:r>
    </w:p>
    <w:p w14:paraId="5750B3DF" w14:textId="77777777" w:rsidR="00197FC7" w:rsidRDefault="00197FC7">
      <w:pPr>
        <w:spacing w:before="0" w:after="0" w:line="280" w:lineRule="atLeast"/>
        <w:jc w:val="left"/>
        <w:rPr>
          <w:rFonts w:asciiTheme="majorHAnsi" w:hAnsiTheme="majorHAnsi"/>
          <w:szCs w:val="21"/>
        </w:rPr>
      </w:pPr>
      <w:r>
        <w:rPr>
          <w:rFonts w:asciiTheme="majorHAnsi" w:hAnsiTheme="majorHAnsi"/>
        </w:rPr>
        <w:br w:type="page"/>
      </w:r>
    </w:p>
    <w:p w14:paraId="0CDCBAAC" w14:textId="77777777" w:rsidR="00EB1D16" w:rsidRPr="00F56993" w:rsidRDefault="00EB1D16" w:rsidP="00197FC7">
      <w:pPr>
        <w:pStyle w:val="Titre3"/>
      </w:pPr>
      <w:bookmarkStart w:id="92" w:name="_Toc156841784"/>
      <w:bookmarkStart w:id="93" w:name="_Toc160043538"/>
      <w:r w:rsidRPr="00F56993">
        <w:lastRenderedPageBreak/>
        <w:t xml:space="preserve">Amélioration </w:t>
      </w:r>
      <w:r w:rsidRPr="00F56993" w:rsidDel="00FB7016">
        <w:t xml:space="preserve">significative </w:t>
      </w:r>
      <w:r w:rsidRPr="00F56993">
        <w:t>du rapport coût-efficacité par rapport au contrat précédent</w:t>
      </w:r>
      <w:bookmarkEnd w:id="92"/>
      <w:bookmarkEnd w:id="93"/>
      <w:r w:rsidRPr="00F56993">
        <w:t> </w:t>
      </w:r>
    </w:p>
    <w:p w14:paraId="0AF21D7F" w14:textId="77777777" w:rsidR="00EB1D16" w:rsidRPr="00F56993" w:rsidRDefault="00EB1D16" w:rsidP="00F56993">
      <w:pPr>
        <w:pStyle w:val="Paragraphenumrot"/>
        <w:keepNext/>
        <w:spacing w:before="240" w:after="240"/>
        <w:ind w:left="284" w:hanging="360"/>
        <w:rPr>
          <w:rFonts w:asciiTheme="majorHAnsi" w:hAnsiTheme="majorHAnsi"/>
        </w:rPr>
      </w:pPr>
      <w:r w:rsidRPr="00F56993">
        <w:rPr>
          <w:rFonts w:asciiTheme="majorHAnsi" w:hAnsiTheme="majorHAnsi"/>
        </w:rPr>
        <w:t xml:space="preserve">L’amélioration </w:t>
      </w:r>
      <w:r w:rsidRPr="00F56993" w:rsidDel="00FB7016">
        <w:rPr>
          <w:rFonts w:asciiTheme="majorHAnsi" w:hAnsiTheme="majorHAnsi"/>
        </w:rPr>
        <w:t xml:space="preserve">significative </w:t>
      </w:r>
      <w:r w:rsidRPr="00F56993">
        <w:rPr>
          <w:rFonts w:asciiTheme="majorHAnsi" w:hAnsiTheme="majorHAnsi"/>
        </w:rPr>
        <w:t xml:space="preserve">du rapport coût-efficacité s’évalue également à l’aune du contrat précédent. </w:t>
      </w:r>
    </w:p>
    <w:p w14:paraId="05624FC8"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Compte tenu des résultats de la consultation publique, l’Autorité propose aux AOT de mesurer l’évolution du rapport coût-efficacité en utilisant l’indicateur du coût au train</w:t>
      </w:r>
      <w:r w:rsidRPr="00F56993">
        <w:rPr>
          <w:rFonts w:asciiTheme="majorHAnsi" w:hAnsiTheme="majorHAnsi"/>
        </w:rPr>
        <w:noBreakHyphen/>
        <w:t xml:space="preserve">kilomètre, entre le contrat en cours et le contrat en voie d’être attribué directement, et ce, à isopérimètre. </w:t>
      </w:r>
    </w:p>
    <w:p w14:paraId="279B5970" w14:textId="77777777" w:rsidR="00EB1D16" w:rsidRPr="00F56993" w:rsidRDefault="00EB1D16" w:rsidP="00EB1D16">
      <w:pPr>
        <w:pStyle w:val="Titre2"/>
        <w:spacing w:after="0"/>
        <w:ind w:left="851" w:hanging="426"/>
        <w:rPr>
          <w:rFonts w:asciiTheme="majorHAnsi" w:eastAsia="Roboto" w:hAnsiTheme="majorHAnsi" w:cs="Roboto"/>
          <w:sz w:val="21"/>
          <w:szCs w:val="21"/>
        </w:rPr>
      </w:pPr>
      <w:bookmarkStart w:id="94" w:name="_Toc152250287"/>
      <w:bookmarkStart w:id="95" w:name="_Toc155369100"/>
      <w:r w:rsidRPr="00F56993">
        <w:rPr>
          <w:rFonts w:asciiTheme="majorHAnsi" w:hAnsiTheme="majorHAnsi"/>
        </w:rPr>
        <w:t xml:space="preserve"> </w:t>
      </w:r>
      <w:bookmarkStart w:id="96" w:name="_Toc156841785"/>
      <w:bookmarkStart w:id="97" w:name="_Toc160043539"/>
      <w:r w:rsidRPr="00F56993">
        <w:rPr>
          <w:rFonts w:asciiTheme="majorHAnsi" w:hAnsiTheme="majorHAnsi"/>
        </w:rPr>
        <w:t>Le dossier de saisine de l’Autorité prévu à l’article 3 du décret du 15 juin 2020 doit permettre d'attester du respect des deux conditions cumulatives prévues dans le règlement OSP</w:t>
      </w:r>
      <w:bookmarkEnd w:id="94"/>
      <w:bookmarkEnd w:id="95"/>
      <w:bookmarkEnd w:id="96"/>
      <w:bookmarkEnd w:id="97"/>
      <w:r w:rsidRPr="00F56993">
        <w:rPr>
          <w:rFonts w:asciiTheme="majorHAnsi" w:hAnsiTheme="majorHAnsi"/>
        </w:rPr>
        <w:t xml:space="preserve"> </w:t>
      </w:r>
    </w:p>
    <w:p w14:paraId="0DC2F6DB" w14:textId="77777777" w:rsidR="00EB1D16" w:rsidRPr="00F56993" w:rsidRDefault="00EB1D16" w:rsidP="00A61414">
      <w:pPr>
        <w:pStyle w:val="Paragraphenumrot"/>
        <w:spacing w:before="240" w:after="240"/>
        <w:ind w:left="284" w:hanging="360"/>
        <w:rPr>
          <w:rFonts w:asciiTheme="majorHAnsi" w:hAnsiTheme="majorHAnsi"/>
        </w:rPr>
      </w:pPr>
      <w:r w:rsidRPr="00F56993">
        <w:rPr>
          <w:rFonts w:asciiTheme="majorHAnsi" w:hAnsiTheme="majorHAnsi"/>
        </w:rPr>
        <w:t>Conformément à l’article 3 du décret du 15 juin 2020 susvisé, le dossier de saisine de l’Autorité devra comprendre :</w:t>
      </w:r>
    </w:p>
    <w:p w14:paraId="0B84E8E2" w14:textId="77777777" w:rsidR="00EB1D16" w:rsidRPr="00F56993" w:rsidRDefault="00EB1D16" w:rsidP="00A61414">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le</w:t>
      </w:r>
      <w:proofErr w:type="gramEnd"/>
      <w:r w:rsidRPr="00F56993">
        <w:rPr>
          <w:rFonts w:asciiTheme="majorHAnsi" w:hAnsiTheme="majorHAnsi"/>
        </w:rPr>
        <w:t xml:space="preserve"> projet de décision motivée d’attribuer directement le contrat de service public (projet de délibération motivée de l’organe délibérant de l’AOT) ; et</w:t>
      </w:r>
    </w:p>
    <w:p w14:paraId="04E6D7DC" w14:textId="77777777" w:rsidR="00EB1D16" w:rsidRPr="00F56993" w:rsidRDefault="00EB1D16" w:rsidP="00A61414">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un</w:t>
      </w:r>
      <w:proofErr w:type="gramEnd"/>
      <w:r w:rsidRPr="00F56993">
        <w:rPr>
          <w:rFonts w:asciiTheme="majorHAnsi" w:hAnsiTheme="majorHAnsi"/>
        </w:rPr>
        <w:t xml:space="preserve"> dossier justifiant de la conformité du projet de décision avec les conditions prévues par le paragraphe 4 </w:t>
      </w:r>
      <w:r w:rsidRPr="00F56993">
        <w:rPr>
          <w:rFonts w:asciiTheme="majorHAnsi" w:hAnsiTheme="majorHAnsi"/>
          <w:i/>
          <w:iCs/>
        </w:rPr>
        <w:t>bis</w:t>
      </w:r>
      <w:r w:rsidRPr="00F56993">
        <w:rPr>
          <w:rFonts w:asciiTheme="majorHAnsi" w:hAnsiTheme="majorHAnsi"/>
        </w:rPr>
        <w:t xml:space="preserve"> de l’article 5 du règlement OSP :</w:t>
      </w:r>
    </w:p>
    <w:p w14:paraId="26F3B76A" w14:textId="77777777" w:rsidR="00EB1D16" w:rsidRPr="00F56993" w:rsidRDefault="00EB1D16" w:rsidP="00A61414">
      <w:pPr>
        <w:pStyle w:val="Paragraphenumrot"/>
        <w:spacing w:before="240" w:after="240"/>
        <w:ind w:left="284" w:hanging="360"/>
        <w:rPr>
          <w:rFonts w:asciiTheme="majorHAnsi" w:hAnsiTheme="majorHAnsi"/>
        </w:rPr>
      </w:pPr>
      <w:r w:rsidRPr="00F56993">
        <w:rPr>
          <w:rFonts w:asciiTheme="majorHAnsi" w:hAnsiTheme="majorHAnsi"/>
        </w:rPr>
        <w:t xml:space="preserve">À ce titre, les documents suivants doivent être transmis à l’Autorité : </w:t>
      </w:r>
    </w:p>
    <w:p w14:paraId="6ED02297" w14:textId="77777777" w:rsidR="00EB1D16" w:rsidRPr="00F56993" w:rsidRDefault="00EB1D16" w:rsidP="00A61414">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en</w:t>
      </w:r>
      <w:proofErr w:type="gramEnd"/>
      <w:r w:rsidRPr="00F56993">
        <w:rPr>
          <w:rFonts w:asciiTheme="majorHAnsi" w:hAnsiTheme="majorHAnsi"/>
        </w:rPr>
        <w:t xml:space="preserve"> ce qui concerne l'existence de caractéristiques structurelles ou géographiques : </w:t>
      </w:r>
    </w:p>
    <w:p w14:paraId="41CBE6D4" w14:textId="3C7572A1" w:rsidR="00EB1D16" w:rsidRPr="00F56993" w:rsidRDefault="00EB1D16" w:rsidP="00A61414">
      <w:pPr>
        <w:pStyle w:val="Listeavectirets"/>
        <w:numPr>
          <w:ilvl w:val="1"/>
          <w:numId w:val="11"/>
        </w:numPr>
        <w:spacing w:before="240" w:after="240"/>
        <w:rPr>
          <w:rFonts w:asciiTheme="majorHAnsi" w:eastAsia="Roboto" w:hAnsiTheme="majorHAnsi" w:cs="Roboto"/>
        </w:rPr>
      </w:pPr>
      <w:proofErr w:type="gramStart"/>
      <w:r w:rsidRPr="00F56993">
        <w:rPr>
          <w:rFonts w:asciiTheme="majorHAnsi" w:eastAsia="Roboto" w:hAnsiTheme="majorHAnsi" w:cs="Roboto"/>
        </w:rPr>
        <w:t>une</w:t>
      </w:r>
      <w:proofErr w:type="gramEnd"/>
      <w:r w:rsidRPr="00F56993">
        <w:rPr>
          <w:rFonts w:asciiTheme="majorHAnsi" w:eastAsia="Roboto" w:hAnsiTheme="majorHAnsi" w:cs="Roboto"/>
        </w:rPr>
        <w:t xml:space="preserve"> note justifiant de l’existence de caractéristiques structurelles et géographiques invoquées et comportant tout élément d’explication nécessaire à leur </w:t>
      </w:r>
      <w:r w:rsidR="001514A0" w:rsidRPr="260742AF">
        <w:rPr>
          <w:rFonts w:eastAsia="Roboto" w:cs="Roboto"/>
        </w:rPr>
        <w:t>appréhension</w:t>
      </w:r>
      <w:r w:rsidR="001514A0">
        <w:rPr>
          <w:rFonts w:eastAsia="Roboto" w:cs="Roboto"/>
        </w:rPr>
        <w:t xml:space="preserve"> </w:t>
      </w:r>
      <w:r w:rsidRPr="00F56993">
        <w:rPr>
          <w:rFonts w:asciiTheme="majorHAnsi" w:eastAsia="Roboto" w:hAnsiTheme="majorHAnsi" w:cs="Roboto"/>
        </w:rPr>
        <w:t>;</w:t>
      </w:r>
    </w:p>
    <w:p w14:paraId="4663231D" w14:textId="77777777" w:rsidR="00EB1D16" w:rsidRPr="00F56993" w:rsidRDefault="00EB1D16" w:rsidP="00A61414">
      <w:pPr>
        <w:pStyle w:val="Listeavectirets"/>
        <w:numPr>
          <w:ilvl w:val="1"/>
          <w:numId w:val="11"/>
        </w:numPr>
        <w:spacing w:before="240" w:after="240"/>
        <w:rPr>
          <w:rFonts w:asciiTheme="majorHAnsi" w:eastAsia="Roboto" w:hAnsiTheme="majorHAnsi" w:cs="Roboto"/>
        </w:rPr>
      </w:pPr>
      <w:proofErr w:type="gramStart"/>
      <w:r w:rsidRPr="00F56993">
        <w:rPr>
          <w:rFonts w:asciiTheme="majorHAnsi" w:eastAsia="Roboto" w:hAnsiTheme="majorHAnsi" w:cs="Roboto"/>
        </w:rPr>
        <w:t>des</w:t>
      </w:r>
      <w:proofErr w:type="gramEnd"/>
      <w:r w:rsidRPr="00F56993">
        <w:rPr>
          <w:rFonts w:asciiTheme="majorHAnsi" w:eastAsia="Roboto" w:hAnsiTheme="majorHAnsi" w:cs="Roboto"/>
        </w:rPr>
        <w:t xml:space="preserve"> éléments caractéristiques des lignes ferroviaires des lots</w:t>
      </w:r>
      <w:r w:rsidRPr="00F56993">
        <w:rPr>
          <w:rFonts w:asciiTheme="majorHAnsi" w:eastAsia="Roboto" w:hAnsiTheme="majorHAnsi" w:cs="Roboto"/>
          <w:vertAlign w:val="superscript"/>
        </w:rPr>
        <w:footnoteReference w:id="17"/>
      </w:r>
      <w:r w:rsidRPr="00F56993">
        <w:rPr>
          <w:rFonts w:asciiTheme="majorHAnsi" w:eastAsia="Roboto" w:hAnsiTheme="majorHAnsi" w:cs="Roboto"/>
        </w:rPr>
        <w:t> ;</w:t>
      </w:r>
    </w:p>
    <w:p w14:paraId="1073AE0A" w14:textId="77777777" w:rsidR="00EB1D16" w:rsidRPr="00F56993" w:rsidRDefault="00EB1D16" w:rsidP="00A61414">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en</w:t>
      </w:r>
      <w:proofErr w:type="gramEnd"/>
      <w:r w:rsidRPr="00F56993">
        <w:rPr>
          <w:rFonts w:asciiTheme="majorHAnsi" w:hAnsiTheme="majorHAnsi"/>
        </w:rPr>
        <w:t xml:space="preserve"> ce qui concerne la justification d’une attribution directe du contrat en raison des caractéristiques géographiques ou structurelles invoquées : </w:t>
      </w:r>
    </w:p>
    <w:p w14:paraId="40E87985" w14:textId="77777777" w:rsidR="00EB1D16" w:rsidRPr="00F56993" w:rsidRDefault="00EB1D16" w:rsidP="00F56993">
      <w:pPr>
        <w:pStyle w:val="Listeavectirets"/>
        <w:numPr>
          <w:ilvl w:val="1"/>
          <w:numId w:val="11"/>
        </w:numPr>
        <w:spacing w:before="0" w:after="0"/>
        <w:rPr>
          <w:rFonts w:asciiTheme="majorHAnsi" w:eastAsia="Roboto" w:hAnsiTheme="majorHAnsi" w:cs="Roboto"/>
        </w:rPr>
      </w:pPr>
      <w:proofErr w:type="gramStart"/>
      <w:r w:rsidRPr="00F56993">
        <w:rPr>
          <w:rFonts w:asciiTheme="majorHAnsi" w:eastAsia="Roboto" w:hAnsiTheme="majorHAnsi" w:cs="Roboto"/>
        </w:rPr>
        <w:t>une</w:t>
      </w:r>
      <w:proofErr w:type="gramEnd"/>
      <w:r w:rsidRPr="00F56993">
        <w:rPr>
          <w:rFonts w:asciiTheme="majorHAnsi" w:eastAsia="Roboto" w:hAnsiTheme="majorHAnsi" w:cs="Roboto"/>
        </w:rPr>
        <w:t xml:space="preserve"> analyse socio-économique étayée justifiant de l’avantage de recourir à une attribution directe plutôt qu’à une mise en concurrence du lot ainsi que les données exhaustives associées ou toute autre justification appropriée dans l’hypothèse où une analyse socio-économique ne serait pas pertinente au cas d’espèce ;</w:t>
      </w:r>
    </w:p>
    <w:p w14:paraId="318AAC86" w14:textId="77777777" w:rsidR="00EB1D16" w:rsidRPr="00F56993" w:rsidRDefault="00EB1D16" w:rsidP="00A61414">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en</w:t>
      </w:r>
      <w:proofErr w:type="gramEnd"/>
      <w:r w:rsidRPr="00F56993">
        <w:rPr>
          <w:rFonts w:asciiTheme="majorHAnsi" w:hAnsiTheme="majorHAnsi"/>
        </w:rPr>
        <w:t xml:space="preserve"> ce qui concerne l’amélioration de la qualité de service ou du rapport coût-efficacité ou des deux : </w:t>
      </w:r>
    </w:p>
    <w:p w14:paraId="300955EA" w14:textId="77777777" w:rsidR="00EB1D16" w:rsidRPr="00F56993" w:rsidRDefault="00EB1D16" w:rsidP="00F56993">
      <w:pPr>
        <w:pStyle w:val="Listeavectirets"/>
        <w:numPr>
          <w:ilvl w:val="1"/>
          <w:numId w:val="11"/>
        </w:numPr>
        <w:spacing w:before="240" w:after="240"/>
        <w:ind w:left="1723" w:hanging="357"/>
        <w:rPr>
          <w:rFonts w:asciiTheme="majorHAnsi" w:eastAsia="Roboto" w:hAnsiTheme="majorHAnsi" w:cs="Roboto"/>
        </w:rPr>
      </w:pPr>
      <w:proofErr w:type="gramStart"/>
      <w:r w:rsidRPr="00F56993">
        <w:rPr>
          <w:rFonts w:asciiTheme="majorHAnsi" w:eastAsia="Roboto" w:hAnsiTheme="majorHAnsi" w:cs="Roboto"/>
        </w:rPr>
        <w:t>le</w:t>
      </w:r>
      <w:proofErr w:type="gramEnd"/>
      <w:r w:rsidRPr="00F56993">
        <w:rPr>
          <w:rFonts w:asciiTheme="majorHAnsi" w:eastAsia="Roboto" w:hAnsiTheme="majorHAnsi" w:cs="Roboto"/>
        </w:rPr>
        <w:t xml:space="preserve"> contrat de service public existant et le projet de contrat de service public qu’il est envisagé d’attribuer directement, comprenant (i) les indicateurs de performance et de qualité de service et les objectifs fixés ; et (ii) les mesures de sanctions financières en cas de non atteinte de ces objectifs ; </w:t>
      </w:r>
    </w:p>
    <w:p w14:paraId="7131C58D" w14:textId="77777777" w:rsidR="00EB1D16" w:rsidRPr="00F56993" w:rsidRDefault="00EB1D16" w:rsidP="00F56993">
      <w:pPr>
        <w:pStyle w:val="Listeavectirets"/>
        <w:keepLines/>
        <w:numPr>
          <w:ilvl w:val="1"/>
          <w:numId w:val="11"/>
        </w:numPr>
        <w:spacing w:before="240" w:after="240"/>
        <w:ind w:left="1723" w:hanging="357"/>
        <w:rPr>
          <w:rFonts w:asciiTheme="majorHAnsi" w:eastAsia="Roboto" w:hAnsiTheme="majorHAnsi" w:cs="Roboto"/>
        </w:rPr>
      </w:pPr>
      <w:proofErr w:type="gramStart"/>
      <w:r w:rsidRPr="00F56993">
        <w:rPr>
          <w:rFonts w:asciiTheme="majorHAnsi" w:eastAsia="Roboto" w:hAnsiTheme="majorHAnsi" w:cs="Roboto"/>
        </w:rPr>
        <w:lastRenderedPageBreak/>
        <w:t>une</w:t>
      </w:r>
      <w:proofErr w:type="gramEnd"/>
      <w:r w:rsidRPr="00F56993">
        <w:rPr>
          <w:rFonts w:asciiTheme="majorHAnsi" w:eastAsia="Roboto" w:hAnsiTheme="majorHAnsi" w:cs="Roboto"/>
        </w:rPr>
        <w:t xml:space="preserve"> note (i) comparant le coût au train-kilomètre, prévisionnel et réalisé, de l’actuelle et de la future convention à isopérimètre, (ii) indiquant et justifiant le rapport coût</w:t>
      </w:r>
      <w:r w:rsidRPr="00F56993">
        <w:rPr>
          <w:rFonts w:asciiTheme="majorHAnsi" w:eastAsia="Roboto" w:hAnsiTheme="majorHAnsi" w:cs="Roboto"/>
        </w:rPr>
        <w:noBreakHyphen/>
        <w:t xml:space="preserve">efficacité attendu en cas de mise en concurrence du service et (iii) justifiant, le cas échéant au travers d’autres indicateurs, l’amélioration significative du rapport coût - efficacité ; </w:t>
      </w:r>
    </w:p>
    <w:p w14:paraId="1D74A05F" w14:textId="33B1E864" w:rsidR="00EB1D16" w:rsidRPr="00F56993" w:rsidRDefault="00EB1D16" w:rsidP="00F56993">
      <w:pPr>
        <w:pStyle w:val="Listeavectirets"/>
        <w:numPr>
          <w:ilvl w:val="1"/>
          <w:numId w:val="11"/>
        </w:numPr>
        <w:spacing w:before="240" w:after="240"/>
        <w:ind w:left="1723" w:hanging="357"/>
        <w:rPr>
          <w:rFonts w:asciiTheme="majorHAnsi" w:eastAsia="Roboto" w:hAnsiTheme="majorHAnsi" w:cs="Roboto"/>
        </w:rPr>
      </w:pPr>
      <w:proofErr w:type="gramStart"/>
      <w:r w:rsidRPr="00F56993">
        <w:rPr>
          <w:rFonts w:asciiTheme="majorHAnsi" w:eastAsia="Roboto" w:hAnsiTheme="majorHAnsi" w:cs="Roboto"/>
        </w:rPr>
        <w:t>une</w:t>
      </w:r>
      <w:proofErr w:type="gramEnd"/>
      <w:r w:rsidRPr="00F56993">
        <w:rPr>
          <w:rFonts w:asciiTheme="majorHAnsi" w:eastAsia="Roboto" w:hAnsiTheme="majorHAnsi" w:cs="Roboto"/>
        </w:rPr>
        <w:t xml:space="preserve"> note indiquant (i) pour la convention en cours les indicateurs de qualité de service, les objectifs y afférents et leur réalisation, les sanctions prévues par le contrat en cas de non atteinte de ces objectifs et (ii) pour le contrat qu’il est projeté de conclure, les indicateurs de qualité de service, les objectifs et les sanctions </w:t>
      </w:r>
      <w:r w:rsidR="001514A0" w:rsidRPr="260742AF">
        <w:rPr>
          <w:rFonts w:eastAsia="Roboto" w:cs="Roboto"/>
        </w:rPr>
        <w:t>associé</w:t>
      </w:r>
      <w:r w:rsidR="001514A0">
        <w:rPr>
          <w:rFonts w:eastAsia="Roboto" w:cs="Roboto"/>
        </w:rPr>
        <w:t>e</w:t>
      </w:r>
      <w:r w:rsidR="001514A0" w:rsidRPr="260742AF">
        <w:rPr>
          <w:rFonts w:eastAsia="Roboto" w:cs="Roboto"/>
        </w:rPr>
        <w:t>s</w:t>
      </w:r>
      <w:r w:rsidRPr="00F56993">
        <w:rPr>
          <w:rFonts w:asciiTheme="majorHAnsi" w:eastAsia="Roboto" w:hAnsiTheme="majorHAnsi" w:cs="Roboto"/>
        </w:rPr>
        <w:t xml:space="preserve">. </w:t>
      </w:r>
    </w:p>
    <w:p w14:paraId="1E391097" w14:textId="77777777" w:rsidR="00EB1D16" w:rsidRPr="00F56993" w:rsidRDefault="00EB1D16" w:rsidP="00EB1D16">
      <w:pPr>
        <w:pStyle w:val="Paragraphenumrot"/>
        <w:spacing w:before="240" w:after="240"/>
        <w:ind w:left="284" w:hanging="360"/>
        <w:rPr>
          <w:rFonts w:asciiTheme="majorHAnsi" w:hAnsiTheme="majorHAnsi"/>
        </w:rPr>
      </w:pPr>
      <w:r w:rsidRPr="00F56993">
        <w:rPr>
          <w:rFonts w:asciiTheme="majorHAnsi" w:hAnsiTheme="majorHAnsi"/>
        </w:rPr>
        <w:t>L’Autorité devant publier l’ensemble du dossier de saisine en application de l’article 3 du décret du 15 juin 2020, l’AOT transmettra une version non- confidentielle, expurgée des secrets protégés par la loi, du dossier de saisine détaillé aux points 51 et 52.</w:t>
      </w:r>
    </w:p>
    <w:p w14:paraId="026632A6" w14:textId="77777777" w:rsidR="00EB1D16" w:rsidRPr="00F56993" w:rsidRDefault="00EB1D16" w:rsidP="00F56993">
      <w:pPr>
        <w:pStyle w:val="Titre1"/>
        <w:spacing w:before="360"/>
        <w:ind w:left="425" w:hanging="425"/>
        <w:rPr>
          <w:rFonts w:asciiTheme="majorHAnsi" w:hAnsiTheme="majorHAnsi"/>
        </w:rPr>
      </w:pPr>
      <w:bookmarkStart w:id="98" w:name="_Toc152250288"/>
      <w:bookmarkStart w:id="99" w:name="_Toc155369101"/>
      <w:bookmarkStart w:id="100" w:name="_Toc156841786"/>
      <w:bookmarkStart w:id="101" w:name="_Toc160043540"/>
      <w:r w:rsidRPr="00F56993">
        <w:rPr>
          <w:rFonts w:asciiTheme="majorHAnsi" w:hAnsiTheme="majorHAnsi"/>
        </w:rPr>
        <w:t>L’Autorité émet un avis simple sur les demandes de DÉROGATION relatives au cas où Le gestionnaire de l’infrastructure est aussi entreprise ferroviaire candidate sur le lot</w:t>
      </w:r>
      <w:bookmarkEnd w:id="98"/>
      <w:bookmarkEnd w:id="99"/>
      <w:bookmarkEnd w:id="100"/>
      <w:bookmarkEnd w:id="101"/>
    </w:p>
    <w:p w14:paraId="25B1B52A" w14:textId="77777777" w:rsidR="00EB1D16" w:rsidRPr="00F56993" w:rsidRDefault="00EB1D16" w:rsidP="00F56993">
      <w:pPr>
        <w:pStyle w:val="Titre2"/>
        <w:spacing w:before="360" w:after="0"/>
        <w:ind w:left="850" w:hanging="425"/>
        <w:rPr>
          <w:rFonts w:asciiTheme="majorHAnsi" w:hAnsiTheme="majorHAnsi"/>
        </w:rPr>
      </w:pPr>
      <w:bookmarkStart w:id="102" w:name="_Toc156841787"/>
      <w:bookmarkStart w:id="103" w:name="_Toc160043541"/>
      <w:r w:rsidRPr="00F56993">
        <w:rPr>
          <w:rFonts w:asciiTheme="majorHAnsi" w:hAnsiTheme="majorHAnsi"/>
        </w:rPr>
        <w:t>Le règlement OSP précise les infrastructures susceptibles de faire l’objet de la dérogation et encadre la durée des contrats attribués directement sur ce fondement</w:t>
      </w:r>
      <w:bookmarkEnd w:id="102"/>
      <w:bookmarkEnd w:id="103"/>
    </w:p>
    <w:p w14:paraId="4C08E920" w14:textId="0A048DB7" w:rsidR="001514A0" w:rsidRPr="001514A0" w:rsidRDefault="00EB1D16" w:rsidP="001514A0">
      <w:pPr>
        <w:pStyle w:val="Paragraphenumrot"/>
        <w:spacing w:before="240" w:after="240"/>
        <w:ind w:hanging="357"/>
      </w:pPr>
      <w:r w:rsidRPr="00F56993">
        <w:rPr>
          <w:rFonts w:asciiTheme="majorHAnsi" w:hAnsiTheme="majorHAnsi"/>
        </w:rPr>
        <w:t xml:space="preserve">Cette dérogation est prévue par l’article 5, paragraphe 4 </w:t>
      </w:r>
      <w:r w:rsidRPr="00F56993">
        <w:rPr>
          <w:rFonts w:asciiTheme="majorHAnsi" w:hAnsiTheme="majorHAnsi"/>
          <w:i/>
          <w:iCs/>
        </w:rPr>
        <w:t>ter</w:t>
      </w:r>
      <w:r w:rsidRPr="00F56993">
        <w:rPr>
          <w:rFonts w:asciiTheme="majorHAnsi" w:hAnsiTheme="majorHAnsi"/>
        </w:rPr>
        <w:t>, du règlement OSP qui indique qu’une AOT « </w:t>
      </w:r>
      <w:r w:rsidRPr="00F56993">
        <w:rPr>
          <w:rFonts w:asciiTheme="majorHAnsi" w:hAnsiTheme="majorHAnsi"/>
          <w:i/>
          <w:iCs/>
        </w:rPr>
        <w:t>peut décider d’attribuer directement des contrats de service public (…) lorsqu’ils portent uniquement sur les services de transport ferroviaire de voyageurs par un opérateur qui gère simultanément la totalité ou la majeure partie de l’infrastructure ferroviaire sur laquelle les services sont fournis</w:t>
      </w:r>
      <w:r w:rsidRPr="00F56993">
        <w:rPr>
          <w:rFonts w:asciiTheme="majorHAnsi" w:hAnsiTheme="majorHAnsi"/>
        </w:rPr>
        <w:t> ».</w:t>
      </w:r>
      <w:r w:rsidR="001514A0" w:rsidRPr="001514A0">
        <w:t xml:space="preserve"> </w:t>
      </w:r>
    </w:p>
    <w:p w14:paraId="1E15BC7C" w14:textId="77777777" w:rsidR="00EB1D16" w:rsidRPr="00F56993" w:rsidRDefault="00EB1D16" w:rsidP="00A61414">
      <w:pPr>
        <w:pStyle w:val="Paragraphenumrot"/>
        <w:spacing w:before="240" w:after="240"/>
        <w:ind w:hanging="357"/>
        <w:rPr>
          <w:rFonts w:asciiTheme="majorHAnsi" w:hAnsiTheme="majorHAnsi"/>
        </w:rPr>
      </w:pPr>
      <w:r w:rsidRPr="00F56993">
        <w:rPr>
          <w:rFonts w:asciiTheme="majorHAnsi" w:hAnsiTheme="majorHAnsi"/>
        </w:rPr>
        <w:t>Les infrastructures susceptibles de faire l’objet de cette dérogation sont constituées :</w:t>
      </w:r>
    </w:p>
    <w:p w14:paraId="42ECA17C" w14:textId="77777777" w:rsidR="00EB1D16" w:rsidRPr="00F56993" w:rsidRDefault="00EB1D16" w:rsidP="00A61414">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des</w:t>
      </w:r>
      <w:proofErr w:type="gramEnd"/>
      <w:r w:rsidRPr="00F56993">
        <w:rPr>
          <w:rFonts w:asciiTheme="majorHAnsi" w:hAnsiTheme="majorHAnsi"/>
        </w:rPr>
        <w:t xml:space="preserve"> réseaux locaux et régionaux autonomes destinés à des services de transport de voyageurs empruntant une infrastructure ferroviaire ;</w:t>
      </w:r>
    </w:p>
    <w:p w14:paraId="0AFBF3FB" w14:textId="77777777" w:rsidR="00EB1D16" w:rsidRPr="00F56993" w:rsidRDefault="00EB1D16" w:rsidP="00A61414">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des</w:t>
      </w:r>
      <w:proofErr w:type="gramEnd"/>
      <w:r w:rsidRPr="00F56993">
        <w:rPr>
          <w:rFonts w:asciiTheme="majorHAnsi" w:hAnsiTheme="majorHAnsi"/>
        </w:rPr>
        <w:t xml:space="preserve"> réseaux destinés uniquement à l’exploitation de services urbains et suburbains de transport ferroviaire de voyageurs.</w:t>
      </w:r>
    </w:p>
    <w:p w14:paraId="7ECBA72A" w14:textId="77777777" w:rsidR="00EB1D16" w:rsidRPr="00F56993" w:rsidRDefault="00EB1D16" w:rsidP="00A61414">
      <w:pPr>
        <w:pStyle w:val="Paragraphenumrot"/>
        <w:spacing w:before="240" w:after="240"/>
        <w:ind w:hanging="357"/>
        <w:rPr>
          <w:rFonts w:asciiTheme="majorHAnsi" w:hAnsiTheme="majorHAnsi"/>
        </w:rPr>
      </w:pPr>
      <w:r w:rsidRPr="00F56993">
        <w:rPr>
          <w:rFonts w:asciiTheme="majorHAnsi" w:hAnsiTheme="majorHAnsi"/>
        </w:rPr>
        <w:t xml:space="preserve">L’article 5, paragraphe 4 </w:t>
      </w:r>
      <w:r w:rsidRPr="00F56993">
        <w:rPr>
          <w:rFonts w:asciiTheme="majorHAnsi" w:hAnsiTheme="majorHAnsi"/>
          <w:i/>
          <w:iCs/>
        </w:rPr>
        <w:t>ter</w:t>
      </w:r>
      <w:r w:rsidRPr="00F56993">
        <w:rPr>
          <w:rFonts w:asciiTheme="majorHAnsi" w:hAnsiTheme="majorHAnsi"/>
        </w:rPr>
        <w:t>, du règlement OSP encadre la durée de ces contrats, qui ne peut excéder 10 ans. Par exception</w:t>
      </w:r>
      <w:r w:rsidRPr="00F56993">
        <w:rPr>
          <w:rFonts w:asciiTheme="majorHAnsi" w:hAnsiTheme="majorHAnsi"/>
        </w:rPr>
        <w:footnoteReference w:id="18"/>
      </w:r>
      <w:r w:rsidRPr="00F56993">
        <w:rPr>
          <w:rFonts w:asciiTheme="majorHAnsi" w:hAnsiTheme="majorHAnsi"/>
        </w:rPr>
        <w:t>, cette durée peut être allongée pour tenir compte :</w:t>
      </w:r>
    </w:p>
    <w:p w14:paraId="65D9054B" w14:textId="77777777" w:rsidR="00EB1D16" w:rsidRPr="00F56993" w:rsidRDefault="00EB1D16" w:rsidP="00A61414">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des</w:t>
      </w:r>
      <w:proofErr w:type="gramEnd"/>
      <w:r w:rsidRPr="00F56993">
        <w:rPr>
          <w:rFonts w:asciiTheme="majorHAnsi" w:hAnsiTheme="majorHAnsi"/>
        </w:rPr>
        <w:t xml:space="preserve"> conditions d’amortissement des actifs ;</w:t>
      </w:r>
    </w:p>
    <w:p w14:paraId="51AD0502" w14:textId="77777777" w:rsidR="00EB1D16" w:rsidRPr="00F56993" w:rsidRDefault="00EB1D16" w:rsidP="00A61414">
      <w:pPr>
        <w:pStyle w:val="Listeavectirets"/>
        <w:numPr>
          <w:ilvl w:val="0"/>
          <w:numId w:val="11"/>
        </w:numPr>
        <w:spacing w:before="240" w:after="240"/>
        <w:rPr>
          <w:rFonts w:asciiTheme="majorHAnsi" w:eastAsia="Times New Roman" w:hAnsiTheme="majorHAnsi" w:cs="Segoe UI"/>
        </w:rPr>
      </w:pPr>
      <w:proofErr w:type="gramStart"/>
      <w:r w:rsidRPr="00F56993">
        <w:rPr>
          <w:rFonts w:asciiTheme="majorHAnsi" w:hAnsiTheme="majorHAnsi"/>
        </w:rPr>
        <w:t>des</w:t>
      </w:r>
      <w:proofErr w:type="gramEnd"/>
      <w:r w:rsidRPr="00F56993">
        <w:rPr>
          <w:rFonts w:asciiTheme="majorHAnsi" w:hAnsiTheme="majorHAnsi"/>
        </w:rPr>
        <w:t xml:space="preserve"> coûts engendrés par la situation géographique particulière de l’infrastructure dans les régions ultrapériphériques.</w:t>
      </w:r>
    </w:p>
    <w:p w14:paraId="75A5F3BE" w14:textId="77777777" w:rsidR="00EB1D16" w:rsidRPr="00F56993" w:rsidRDefault="00EB1D16" w:rsidP="00EB1D16">
      <w:pPr>
        <w:pStyle w:val="Titre2"/>
        <w:spacing w:after="0"/>
        <w:ind w:left="851" w:hanging="426"/>
        <w:rPr>
          <w:rFonts w:asciiTheme="majorHAnsi" w:hAnsiTheme="majorHAnsi"/>
        </w:rPr>
      </w:pPr>
      <w:bookmarkStart w:id="104" w:name="_Toc152250292"/>
      <w:bookmarkStart w:id="105" w:name="_Toc156841788"/>
      <w:bookmarkStart w:id="106" w:name="_Toc160043542"/>
      <w:r w:rsidRPr="00F56993">
        <w:rPr>
          <w:rFonts w:asciiTheme="majorHAnsi" w:hAnsiTheme="majorHAnsi"/>
        </w:rPr>
        <w:t>Dans le cas où l’Autorité est saisie par un tiers, l’AOT souhaitant recourir à cette dérogation</w:t>
      </w:r>
      <w:bookmarkEnd w:id="104"/>
      <w:r w:rsidRPr="00F56993">
        <w:rPr>
          <w:rFonts w:asciiTheme="majorHAnsi" w:hAnsiTheme="majorHAnsi"/>
        </w:rPr>
        <w:t xml:space="preserve"> devra justifier de la gestion majoritaire de l’infrastructure par le candidat sur le lot</w:t>
      </w:r>
      <w:bookmarkEnd w:id="105"/>
      <w:bookmarkEnd w:id="106"/>
    </w:p>
    <w:p w14:paraId="7A84ADF1" w14:textId="2A520367" w:rsidR="00EB1D16" w:rsidRPr="00F56993" w:rsidRDefault="00EB1D16" w:rsidP="00F56993">
      <w:pPr>
        <w:pStyle w:val="Paragraphenumrot"/>
        <w:spacing w:before="240" w:after="0"/>
        <w:ind w:hanging="357"/>
        <w:rPr>
          <w:rFonts w:asciiTheme="majorHAnsi" w:hAnsiTheme="majorHAnsi"/>
        </w:rPr>
      </w:pPr>
      <w:r w:rsidRPr="00F56993">
        <w:rPr>
          <w:rFonts w:asciiTheme="majorHAnsi" w:hAnsiTheme="majorHAnsi"/>
        </w:rPr>
        <w:t xml:space="preserve">Dans le cas où un tiers, à qui la décision de recourir à cette dérogation est susceptible de faire grief, saisit l’Autorité, l’AOT justifiera que l’opérateur de services de transport ferroviaire de voyageurs à qui elle souhaite attribuer directement le contrat d’un lot assure simultanément la </w:t>
      </w:r>
      <w:r w:rsidR="001514A0">
        <w:t xml:space="preserve">gestion </w:t>
      </w:r>
      <w:r w:rsidR="001514A0" w:rsidRPr="779F9FBB">
        <w:rPr>
          <w:i/>
          <w:iCs/>
        </w:rPr>
        <w:t>a minima</w:t>
      </w:r>
      <w:r w:rsidR="001514A0">
        <w:t xml:space="preserve"> de 51 % du linéaire </w:t>
      </w:r>
      <w:r w:rsidRPr="00F56993">
        <w:rPr>
          <w:rFonts w:asciiTheme="majorHAnsi" w:hAnsiTheme="majorHAnsi"/>
        </w:rPr>
        <w:t>de voies de l’infrastructure ferroviaire de ce même lot.</w:t>
      </w:r>
    </w:p>
    <w:p w14:paraId="7C263F09" w14:textId="77777777" w:rsidR="00EB1D16" w:rsidRPr="00F56993" w:rsidRDefault="00EB1D16" w:rsidP="00EB1D16">
      <w:pPr>
        <w:pStyle w:val="Titre2"/>
        <w:spacing w:after="0"/>
        <w:ind w:left="851" w:hanging="426"/>
        <w:rPr>
          <w:rFonts w:asciiTheme="majorHAnsi" w:hAnsiTheme="majorHAnsi"/>
        </w:rPr>
      </w:pPr>
      <w:bookmarkStart w:id="107" w:name="_Toc156841789"/>
      <w:bookmarkStart w:id="108" w:name="_Toc160043543"/>
      <w:r w:rsidRPr="00F56993">
        <w:rPr>
          <w:rFonts w:asciiTheme="majorHAnsi" w:hAnsiTheme="majorHAnsi"/>
        </w:rPr>
        <w:lastRenderedPageBreak/>
        <w:t xml:space="preserve">Composition de la demande d’évaluation et du dossier justifiant de la conformité de la décision d’attribution directe aux conditions prévues par le paragraphe 4 </w:t>
      </w:r>
      <w:r w:rsidRPr="00F56993">
        <w:rPr>
          <w:rFonts w:asciiTheme="majorHAnsi" w:hAnsiTheme="majorHAnsi"/>
          <w:i/>
          <w:iCs/>
        </w:rPr>
        <w:t>ter</w:t>
      </w:r>
      <w:r w:rsidRPr="00F56993">
        <w:rPr>
          <w:rFonts w:asciiTheme="majorHAnsi" w:hAnsiTheme="majorHAnsi"/>
        </w:rPr>
        <w:t xml:space="preserve"> de l’article 5 du règlement OSP</w:t>
      </w:r>
      <w:bookmarkEnd w:id="107"/>
      <w:bookmarkEnd w:id="108"/>
    </w:p>
    <w:p w14:paraId="624D2504" w14:textId="77777777" w:rsidR="00EB1D16" w:rsidRPr="00F56993" w:rsidRDefault="00EB1D16" w:rsidP="00EB1D16">
      <w:pPr>
        <w:pStyle w:val="Paragraphenumrot"/>
        <w:spacing w:before="240" w:after="240"/>
        <w:ind w:hanging="360"/>
        <w:rPr>
          <w:rFonts w:asciiTheme="majorHAnsi" w:hAnsiTheme="majorHAnsi"/>
        </w:rPr>
      </w:pPr>
      <w:r w:rsidRPr="00F56993">
        <w:rPr>
          <w:rFonts w:asciiTheme="majorHAnsi" w:hAnsiTheme="majorHAnsi"/>
        </w:rPr>
        <w:t xml:space="preserve">Le dossier de saisine de l’Autorité d’une demande d’évaluation doit comporter : </w:t>
      </w:r>
    </w:p>
    <w:p w14:paraId="44920842"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les</w:t>
      </w:r>
      <w:proofErr w:type="gramEnd"/>
      <w:r w:rsidRPr="00F56993">
        <w:rPr>
          <w:rFonts w:asciiTheme="majorHAnsi" w:hAnsiTheme="majorHAnsi"/>
        </w:rPr>
        <w:t xml:space="preserve"> noms, prénoms, raison sociale du saisissant ainsi qu’une note justifiant en quoi la décision est susceptible de lui faire grief ;</w:t>
      </w:r>
    </w:p>
    <w:p w14:paraId="3153A4D8"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la</w:t>
      </w:r>
      <w:proofErr w:type="gramEnd"/>
      <w:r w:rsidRPr="00F56993">
        <w:rPr>
          <w:rFonts w:asciiTheme="majorHAnsi" w:hAnsiTheme="majorHAnsi"/>
        </w:rPr>
        <w:t xml:space="preserve"> décision motivée prise par l’AOT d’attribuer un contrat de service public en application du paragraphe 4 </w:t>
      </w:r>
      <w:r w:rsidRPr="00F56993">
        <w:rPr>
          <w:rFonts w:asciiTheme="majorHAnsi" w:hAnsiTheme="majorHAnsi"/>
          <w:i/>
          <w:iCs/>
        </w:rPr>
        <w:t>ter</w:t>
      </w:r>
      <w:r w:rsidRPr="00F56993">
        <w:rPr>
          <w:rFonts w:asciiTheme="majorHAnsi" w:hAnsiTheme="majorHAnsi"/>
        </w:rPr>
        <w:t xml:space="preserve"> de l’article 5 du règlement OSP faisant mention de sa date de publication ; </w:t>
      </w:r>
    </w:p>
    <w:p w14:paraId="70E7B647"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l’objet</w:t>
      </w:r>
      <w:proofErr w:type="gramEnd"/>
      <w:r w:rsidRPr="00F56993">
        <w:rPr>
          <w:rFonts w:asciiTheme="majorHAnsi" w:hAnsiTheme="majorHAnsi"/>
        </w:rPr>
        <w:t xml:space="preserve"> de la saisine de l’Autorité (points sur lesquels une évaluation est demandée). </w:t>
      </w:r>
    </w:p>
    <w:p w14:paraId="0448AA66" w14:textId="77777777" w:rsidR="00EB1D16" w:rsidRPr="00F56993" w:rsidRDefault="00EB1D16" w:rsidP="00EB1D16">
      <w:pPr>
        <w:pStyle w:val="Paragraphenumrot"/>
        <w:spacing w:before="240" w:after="240"/>
        <w:ind w:hanging="360"/>
        <w:rPr>
          <w:rFonts w:asciiTheme="majorHAnsi" w:hAnsiTheme="majorHAnsi"/>
        </w:rPr>
      </w:pPr>
      <w:r w:rsidRPr="00F56993">
        <w:rPr>
          <w:rFonts w:asciiTheme="majorHAnsi" w:hAnsiTheme="majorHAnsi"/>
        </w:rPr>
        <w:t xml:space="preserve">Informée par l’Autorité de la demande d’évaluation, l’AOT fournit à l’Autorité un dossier </w:t>
      </w:r>
      <w:bookmarkStart w:id="109" w:name="_Hlk155808708"/>
      <w:r w:rsidRPr="00F56993">
        <w:rPr>
          <w:rFonts w:asciiTheme="majorHAnsi" w:hAnsiTheme="majorHAnsi"/>
        </w:rPr>
        <w:t xml:space="preserve">justifiant la conformité de la décision préalable avec les conditions prévues par le paragraphe 4 </w:t>
      </w:r>
      <w:r w:rsidRPr="00F56993">
        <w:rPr>
          <w:rFonts w:asciiTheme="majorHAnsi" w:hAnsiTheme="majorHAnsi"/>
          <w:i/>
          <w:iCs/>
        </w:rPr>
        <w:t>ter</w:t>
      </w:r>
      <w:r w:rsidRPr="00F56993">
        <w:rPr>
          <w:rFonts w:asciiTheme="majorHAnsi" w:hAnsiTheme="majorHAnsi"/>
        </w:rPr>
        <w:t xml:space="preserve"> de l’article 5 du règlement OSP. </w:t>
      </w:r>
    </w:p>
    <w:bookmarkEnd w:id="109"/>
    <w:p w14:paraId="72BDAE0B" w14:textId="77777777" w:rsidR="00EB1D16" w:rsidRPr="00F56993" w:rsidRDefault="00EB1D16" w:rsidP="00EB1D16">
      <w:pPr>
        <w:pStyle w:val="Paragraphenumrot"/>
        <w:spacing w:before="240" w:after="240"/>
        <w:ind w:hanging="360"/>
        <w:rPr>
          <w:rFonts w:asciiTheme="majorHAnsi" w:hAnsiTheme="majorHAnsi"/>
        </w:rPr>
      </w:pPr>
      <w:r w:rsidRPr="00F56993">
        <w:rPr>
          <w:rFonts w:asciiTheme="majorHAnsi" w:hAnsiTheme="majorHAnsi"/>
        </w:rPr>
        <w:t>Ce dossier comprend :</w:t>
      </w:r>
    </w:p>
    <w:p w14:paraId="71CAD587"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un</w:t>
      </w:r>
      <w:proofErr w:type="gramEnd"/>
      <w:r w:rsidRPr="00F56993">
        <w:rPr>
          <w:rFonts w:asciiTheme="majorHAnsi" w:hAnsiTheme="majorHAnsi"/>
        </w:rPr>
        <w:t xml:space="preserve"> schéma technique des lignes du lot concerné par la procédure ;</w:t>
      </w:r>
    </w:p>
    <w:p w14:paraId="0D6E8DDD"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un</w:t>
      </w:r>
      <w:proofErr w:type="gramEnd"/>
      <w:r w:rsidRPr="00F56993">
        <w:rPr>
          <w:rFonts w:asciiTheme="majorHAnsi" w:hAnsiTheme="majorHAnsi"/>
        </w:rPr>
        <w:t xml:space="preserve"> schéma technique des périmètres de gestion de l’infrastructure du lot affecté à l’opérateur concerné par la procédure d’attribution au titre de la présente dérogation ;</w:t>
      </w:r>
    </w:p>
    <w:p w14:paraId="65450776"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le</w:t>
      </w:r>
      <w:proofErr w:type="gramEnd"/>
      <w:r w:rsidRPr="00F56993">
        <w:rPr>
          <w:rFonts w:asciiTheme="majorHAnsi" w:hAnsiTheme="majorHAnsi"/>
        </w:rPr>
        <w:t xml:space="preserve"> calcul et la méthodologie retenus pour déterminer la part de gestion spécifiquement allouée à l’entreprise attributaire ;</w:t>
      </w:r>
    </w:p>
    <w:p w14:paraId="243C3234" w14:textId="77777777" w:rsidR="00EB1D16" w:rsidRPr="00F56993" w:rsidRDefault="00EB1D16" w:rsidP="00EB1D16">
      <w:pPr>
        <w:pStyle w:val="Listeavectirets"/>
        <w:numPr>
          <w:ilvl w:val="0"/>
          <w:numId w:val="11"/>
        </w:numPr>
        <w:spacing w:before="240" w:after="240"/>
        <w:rPr>
          <w:rFonts w:asciiTheme="majorHAnsi" w:hAnsiTheme="majorHAnsi"/>
        </w:rPr>
      </w:pPr>
      <w:proofErr w:type="gramStart"/>
      <w:r w:rsidRPr="00F56993">
        <w:rPr>
          <w:rFonts w:asciiTheme="majorHAnsi" w:hAnsiTheme="majorHAnsi"/>
        </w:rPr>
        <w:t>une</w:t>
      </w:r>
      <w:proofErr w:type="gramEnd"/>
      <w:r w:rsidRPr="00F56993">
        <w:rPr>
          <w:rFonts w:asciiTheme="majorHAnsi" w:hAnsiTheme="majorHAnsi"/>
        </w:rPr>
        <w:t xml:space="preserve"> justification de la durée du projet de contrat. </w:t>
      </w:r>
    </w:p>
    <w:p w14:paraId="345EC3CB" w14:textId="77777777" w:rsidR="00EB1D16" w:rsidRPr="00F56993" w:rsidRDefault="00EB1D16" w:rsidP="00EB1D16">
      <w:pPr>
        <w:pStyle w:val="Paragraphenumrot"/>
        <w:spacing w:before="240" w:after="240"/>
        <w:ind w:hanging="360"/>
        <w:rPr>
          <w:rFonts w:asciiTheme="majorHAnsi" w:hAnsiTheme="majorHAnsi"/>
        </w:rPr>
      </w:pPr>
      <w:r w:rsidRPr="00F56993">
        <w:rPr>
          <w:rFonts w:asciiTheme="majorHAnsi" w:hAnsiTheme="majorHAnsi"/>
        </w:rPr>
        <w:t xml:space="preserve">L’Autorité devant publier, en application de l’article 2 du décret du 15 juin 2020, la demande d’évaluation ainsi que le dossier justifiant la conformité de la décision préalable avec les conditions prévues par le paragraphe 4 </w:t>
      </w:r>
      <w:r w:rsidRPr="00F56993">
        <w:rPr>
          <w:rFonts w:asciiTheme="majorHAnsi" w:hAnsiTheme="majorHAnsi"/>
          <w:i/>
          <w:iCs/>
        </w:rPr>
        <w:t>ter</w:t>
      </w:r>
      <w:r w:rsidRPr="00F56993">
        <w:rPr>
          <w:rFonts w:asciiTheme="majorHAnsi" w:hAnsiTheme="majorHAnsi"/>
        </w:rPr>
        <w:t xml:space="preserve"> de l’article 5 du règlement OSP, une version non confidentielle de ces documents, expurgée des secrets protégés par la loi, lui est transmise.</w:t>
      </w:r>
    </w:p>
    <w:p w14:paraId="408FDB78" w14:textId="5B91A5FA" w:rsidR="0026389C" w:rsidRPr="00F56993" w:rsidRDefault="0026389C" w:rsidP="00BA7545">
      <w:pPr>
        <w:rPr>
          <w:rFonts w:asciiTheme="majorHAnsi" w:hAnsiTheme="majorHAnsi"/>
        </w:rPr>
      </w:pPr>
    </w:p>
    <w:sectPr w:rsidR="0026389C" w:rsidRPr="00F56993" w:rsidSect="00F56993">
      <w:footerReference w:type="default" r:id="rId16"/>
      <w:headerReference w:type="first" r:id="rId17"/>
      <w:footerReference w:type="first" r:id="rId18"/>
      <w:type w:val="continuous"/>
      <w:pgSz w:w="11906" w:h="16838"/>
      <w:pgMar w:top="1134" w:right="1418" w:bottom="709" w:left="1418" w:header="155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12CE" w14:textId="77777777" w:rsidR="00D742A2" w:rsidRDefault="00D742A2" w:rsidP="00FC7E86">
      <w:pPr>
        <w:spacing w:before="0" w:after="0"/>
      </w:pPr>
      <w:r>
        <w:separator/>
      </w:r>
    </w:p>
  </w:endnote>
  <w:endnote w:type="continuationSeparator" w:id="0">
    <w:p w14:paraId="32B15A25" w14:textId="77777777" w:rsidR="00D742A2" w:rsidRDefault="00D742A2" w:rsidP="00FC7E86">
      <w:pPr>
        <w:spacing w:before="0" w:after="0"/>
      </w:pPr>
      <w:r>
        <w:continuationSeparator/>
      </w:r>
    </w:p>
  </w:endnote>
  <w:endnote w:type="continuationNotice" w:id="1">
    <w:p w14:paraId="0DFD3C43" w14:textId="77777777" w:rsidR="00D742A2" w:rsidRDefault="00D742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Liberation Sans">
    <w:charset w:val="01"/>
    <w:family w:val="roman"/>
    <w:pitch w:val="variable"/>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2AFF" w:usb1="5000785B" w:usb2="00000000" w:usb3="00000000" w:csb0="000001FF" w:csb1="00000000"/>
  </w:font>
  <w:font w:name="Roboto Bold Condensed">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208E" w14:textId="38C78887" w:rsidR="00FC7E86" w:rsidRPr="00901A01" w:rsidRDefault="00901A01" w:rsidP="00121517">
    <w:pPr>
      <w:pStyle w:val="Pieddepage"/>
    </w:pPr>
    <w:r w:rsidRPr="00DB6605">
      <w:rPr>
        <w:rFonts w:eastAsia="Roboto Lt" w:hAnsi="Roboto Lt" w:cs="Roboto Lt"/>
        <w:b/>
        <w:color w:val="223C75"/>
        <w:szCs w:val="22"/>
        <w:lang w:bidi="fr-FR"/>
      </w:rPr>
      <w:t>autorite-transports.fr</w:t>
    </w:r>
    <w:r w:rsidR="00183B37">
      <w:rPr>
        <w:rFonts w:eastAsia="Roboto Lt" w:hAnsi="Roboto Lt" w:cs="Roboto Lt"/>
        <w:b/>
        <w:color w:val="223C75"/>
        <w:szCs w:val="22"/>
        <w:lang w:bidi="fr-FR"/>
      </w:rPr>
      <w:tab/>
    </w:r>
    <w:r w:rsidR="00183B37" w:rsidRPr="00ED517B">
      <w:rPr>
        <w:rFonts w:eastAsia="Roboto Lt" w:cs="Roboto Lt"/>
        <w:bCs/>
        <w:szCs w:val="16"/>
        <w:lang w:bidi="fr-FR"/>
      </w:rPr>
      <w:tab/>
    </w:r>
    <w:sdt>
      <w:sdtPr>
        <w:rPr>
          <w:rFonts w:eastAsia="Roboto Lt" w:cs="Roboto Lt"/>
          <w:bCs/>
          <w:szCs w:val="16"/>
          <w:lang w:bidi="fr-FR"/>
        </w:rPr>
        <w:alias w:val="Titre "/>
        <w:tag w:val=""/>
        <w:id w:val="211084849"/>
        <w:dataBinding w:prefixMappings="xmlns:ns0='http://purl.org/dc/elements/1.1/' xmlns:ns1='http://schemas.openxmlformats.org/package/2006/metadata/core-properties' " w:xpath="/ns1:coreProperties[1]/ns0:title[1]" w:storeItemID="{6C3C8BC8-F283-45AE-878A-BAB7291924A1}"/>
        <w:text/>
      </w:sdtPr>
      <w:sdtEndPr/>
      <w:sdtContent>
        <w:r w:rsidR="007B6C1F">
          <w:rPr>
            <w:rFonts w:eastAsia="Roboto Lt" w:cs="Roboto Lt"/>
            <w:bCs/>
            <w:szCs w:val="16"/>
            <w:lang w:bidi="fr-FR"/>
          </w:rPr>
          <w:t>Consultation publique</w:t>
        </w:r>
      </w:sdtContent>
    </w:sdt>
    <w:r w:rsidR="00183B37" w:rsidRPr="00ED517B">
      <w:rPr>
        <w:bCs/>
      </w:rPr>
      <w:tab/>
    </w:r>
    <w:r w:rsidRPr="00ED517B">
      <w:rPr>
        <w:bCs/>
      </w:rPr>
      <w:fldChar w:fldCharType="begin"/>
    </w:r>
    <w:r w:rsidRPr="00ED517B">
      <w:rPr>
        <w:bCs/>
      </w:rPr>
      <w:instrText>PAGE  \* Arabic  \* MERGEFORMAT</w:instrText>
    </w:r>
    <w:r w:rsidRPr="00ED517B">
      <w:rPr>
        <w:bCs/>
      </w:rPr>
      <w:fldChar w:fldCharType="separate"/>
    </w:r>
    <w:r w:rsidRPr="00ED517B">
      <w:rPr>
        <w:bCs/>
      </w:rPr>
      <w:t>2</w:t>
    </w:r>
    <w:r w:rsidRPr="00ED517B">
      <w:rPr>
        <w:bCs/>
      </w:rPr>
      <w:fldChar w:fldCharType="end"/>
    </w:r>
    <w:r w:rsidRPr="00ED517B">
      <w:t xml:space="preserve"> </w:t>
    </w:r>
    <w:r w:rsidRPr="00FC7E86">
      <w:t xml:space="preserve">/ </w:t>
    </w:r>
    <w:r w:rsidR="00467561">
      <w:fldChar w:fldCharType="begin"/>
    </w:r>
    <w:r w:rsidR="00467561">
      <w:instrText>NUMPAGES  \* Arabic  \* MERGEFORMAT</w:instrText>
    </w:r>
    <w:r w:rsidR="00467561">
      <w:fldChar w:fldCharType="separate"/>
    </w:r>
    <w:r>
      <w:t>6</w:t>
    </w:r>
    <w:r w:rsidR="004675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A2B1" w14:textId="77777777" w:rsidR="009906F9" w:rsidRPr="009906F9" w:rsidRDefault="009906F9" w:rsidP="00121517">
    <w:pPr>
      <w:pStyle w:val="Pieddepage"/>
      <w:rPr>
        <w:lang w:bidi="fr-FR"/>
      </w:rPr>
    </w:pPr>
    <w:r w:rsidRPr="009906F9">
      <w:rPr>
        <w:lang w:bidi="fr-FR"/>
      </w:rPr>
      <w:t>11 Place des cinq Martyrs du Lycée Buffon – CS 30054 – 75675 Paris Cedex 14 – Tél. +33 (0) 1 58 01 01 10</w:t>
    </w:r>
  </w:p>
  <w:p w14:paraId="60694587" w14:textId="77777777" w:rsidR="009906F9" w:rsidRPr="009906F9" w:rsidRDefault="009906F9" w:rsidP="00121517">
    <w:pPr>
      <w:pStyle w:val="Pieddepage"/>
      <w:rPr>
        <w:lang w:bidi="fr-FR"/>
      </w:rPr>
    </w:pPr>
  </w:p>
  <w:p w14:paraId="419D3518" w14:textId="77777777" w:rsidR="009906F9" w:rsidRPr="009906F9" w:rsidRDefault="009906F9" w:rsidP="00121517">
    <w:pPr>
      <w:pStyle w:val="Pieddepage"/>
    </w:pPr>
    <w:r w:rsidRPr="009906F9">
      <w:rPr>
        <w:rFonts w:eastAsia="Roboto Lt" w:hAnsi="Roboto Lt" w:cs="Roboto Lt"/>
        <w:b/>
        <w:color w:val="223C75"/>
        <w:szCs w:val="22"/>
        <w:lang w:bidi="fr-FR"/>
      </w:rPr>
      <w:t>autorite-transports.fr</w:t>
    </w:r>
    <w:r w:rsidRPr="009906F9">
      <w:rPr>
        <w:rFonts w:eastAsia="Roboto Lt" w:hAnsi="Roboto Lt" w:cs="Roboto Lt"/>
        <w:b/>
        <w:color w:val="223C75"/>
        <w:szCs w:val="22"/>
        <w:lang w:bidi="fr-FR"/>
      </w:rPr>
      <w:tab/>
    </w:r>
    <w:r w:rsidR="00121517">
      <w:rPr>
        <w:rFonts w:eastAsia="Roboto Lt" w:hAnsi="Roboto Lt" w:cs="Roboto Lt"/>
        <w:b/>
        <w:color w:val="223C75"/>
        <w:szCs w:val="22"/>
        <w:lang w:bidi="fr-FR"/>
      </w:rPr>
      <w:tab/>
    </w:r>
    <w:r w:rsidR="00121517">
      <w:rPr>
        <w:rFonts w:eastAsia="Roboto Lt" w:hAnsi="Roboto Lt" w:cs="Roboto Lt"/>
        <w:b/>
        <w:color w:val="223C75"/>
        <w:szCs w:val="22"/>
        <w:lang w:bidi="fr-FR"/>
      </w:rPr>
      <w:tab/>
    </w:r>
    <w:r w:rsidRPr="009906F9">
      <w:fldChar w:fldCharType="begin"/>
    </w:r>
    <w:r w:rsidRPr="009906F9">
      <w:instrText>PAGE  \* Arabic  \* MERGEFORMAT</w:instrText>
    </w:r>
    <w:r w:rsidRPr="009906F9">
      <w:fldChar w:fldCharType="separate"/>
    </w:r>
    <w:r w:rsidRPr="009906F9">
      <w:t>1</w:t>
    </w:r>
    <w:r w:rsidRPr="009906F9">
      <w:fldChar w:fldCharType="end"/>
    </w:r>
    <w:r w:rsidRPr="009906F9">
      <w:t xml:space="preserve"> / </w:t>
    </w:r>
    <w:r w:rsidR="00467561">
      <w:fldChar w:fldCharType="begin"/>
    </w:r>
    <w:r w:rsidR="00467561">
      <w:instrText>NUMPAGES  \* Arabic  \* MERGEFORMAT</w:instrText>
    </w:r>
    <w:r w:rsidR="00467561">
      <w:fldChar w:fldCharType="separate"/>
    </w:r>
    <w:r w:rsidRPr="009906F9">
      <w:t>4</w:t>
    </w:r>
    <w:r w:rsidR="004675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472A" w14:textId="77777777" w:rsidR="00D742A2" w:rsidRDefault="00D742A2" w:rsidP="00FC7E86">
      <w:pPr>
        <w:spacing w:before="0" w:after="0"/>
      </w:pPr>
      <w:r>
        <w:separator/>
      </w:r>
    </w:p>
  </w:footnote>
  <w:footnote w:type="continuationSeparator" w:id="0">
    <w:p w14:paraId="0E6417C7" w14:textId="77777777" w:rsidR="00D742A2" w:rsidRDefault="00D742A2" w:rsidP="00FC7E86">
      <w:pPr>
        <w:spacing w:before="0" w:after="0"/>
      </w:pPr>
      <w:r>
        <w:continuationSeparator/>
      </w:r>
    </w:p>
  </w:footnote>
  <w:footnote w:type="continuationNotice" w:id="1">
    <w:p w14:paraId="248CAFFF" w14:textId="77777777" w:rsidR="00D742A2" w:rsidRDefault="00D742A2">
      <w:pPr>
        <w:spacing w:before="0" w:after="0"/>
      </w:pPr>
    </w:p>
  </w:footnote>
  <w:footnote w:id="2">
    <w:p w14:paraId="4E84A25E" w14:textId="77777777" w:rsidR="00DD4485" w:rsidRDefault="00DD4485" w:rsidP="00DD4485">
      <w:pPr>
        <w:pStyle w:val="Notedebasdepage"/>
      </w:pPr>
      <w:r>
        <w:rPr>
          <w:rStyle w:val="Appelnotedebasdep"/>
        </w:rPr>
        <w:footnoteRef/>
      </w:r>
      <w:r>
        <w:t xml:space="preserve"> III de l’article 19 de la loi NPF. </w:t>
      </w:r>
    </w:p>
  </w:footnote>
  <w:footnote w:id="3">
    <w:p w14:paraId="3E09A356" w14:textId="77777777" w:rsidR="00EB1D16" w:rsidRPr="00C9300E" w:rsidRDefault="00EB1D16" w:rsidP="00EB1D16">
      <w:pPr>
        <w:pStyle w:val="Notedebasdepage"/>
      </w:pPr>
      <w:r>
        <w:rPr>
          <w:rStyle w:val="Appelnotedebasdep"/>
        </w:rPr>
        <w:footnoteRef/>
      </w:r>
      <w:r>
        <w:t xml:space="preserve"> </w:t>
      </w:r>
      <w:hyperlink r:id="rId1" w:history="1">
        <w:r w:rsidRPr="008B0394">
          <w:rPr>
            <w:rStyle w:val="Lienhypertexte"/>
          </w:rPr>
          <w:t>Etude sur l’ouverture à la concurrence des services de transport ferroviaire de voyageurs</w:t>
        </w:r>
        <w:r w:rsidRPr="00F238B3">
          <w:rPr>
            <w:rStyle w:val="Lienhypertexte"/>
          </w:rPr>
          <w:t xml:space="preserve"> </w:t>
        </w:r>
        <w:r w:rsidRPr="008B0394">
          <w:rPr>
            <w:rStyle w:val="Lienhypertexte"/>
          </w:rPr>
          <w:t>– édition 2022 – autorité de régulation des transports</w:t>
        </w:r>
      </w:hyperlink>
    </w:p>
  </w:footnote>
  <w:footnote w:id="4">
    <w:p w14:paraId="12CBF31C" w14:textId="77777777" w:rsidR="00EB1D16" w:rsidRPr="00F238B3" w:rsidRDefault="00EB1D16" w:rsidP="00EB1D16">
      <w:pPr>
        <w:pStyle w:val="Notedebasdepage"/>
        <w:rPr>
          <w:lang w:val="de-DE"/>
        </w:rPr>
      </w:pPr>
      <w:r>
        <w:rPr>
          <w:rStyle w:val="Appelnotedebasdep"/>
        </w:rPr>
        <w:footnoteRef/>
      </w:r>
      <w:r w:rsidRPr="00D80E81">
        <w:rPr>
          <w:lang w:val="de-DE"/>
        </w:rPr>
        <w:t xml:space="preserve"> </w:t>
      </w:r>
      <w:proofErr w:type="spellStart"/>
      <w:r w:rsidRPr="00D80E81">
        <w:rPr>
          <w:lang w:val="de-DE"/>
        </w:rPr>
        <w:t>Mofair</w:t>
      </w:r>
      <w:proofErr w:type="spellEnd"/>
      <w:r w:rsidRPr="00D80E81">
        <w:rPr>
          <w:lang w:val="de-DE"/>
        </w:rPr>
        <w:t xml:space="preserve"> (2009). </w:t>
      </w:r>
      <w:r w:rsidRPr="00F238B3">
        <w:rPr>
          <w:lang w:val="de-DE"/>
        </w:rPr>
        <w:t>Wettbewerber-Report Eisenbahn 2013/2014, Berlin</w:t>
      </w:r>
    </w:p>
  </w:footnote>
  <w:footnote w:id="5">
    <w:p w14:paraId="353A3CFC" w14:textId="77777777" w:rsidR="00EB1D16" w:rsidRPr="00F238B3" w:rsidRDefault="00EB1D16" w:rsidP="00EB1D16">
      <w:pPr>
        <w:pStyle w:val="Notedebasdepage"/>
        <w:rPr>
          <w:lang w:val="de-DE"/>
        </w:rPr>
      </w:pPr>
      <w:r>
        <w:rPr>
          <w:rStyle w:val="Appelnotedebasdep"/>
        </w:rPr>
        <w:footnoteRef/>
      </w:r>
      <w:r w:rsidRPr="00F238B3">
        <w:rPr>
          <w:lang w:val="de-DE"/>
        </w:rPr>
        <w:t xml:space="preserve"> </w:t>
      </w:r>
      <w:proofErr w:type="spellStart"/>
      <w:r w:rsidRPr="00F238B3">
        <w:rPr>
          <w:lang w:val="de-DE"/>
        </w:rPr>
        <w:t>Données</w:t>
      </w:r>
      <w:proofErr w:type="spellEnd"/>
      <w:r w:rsidRPr="00F238B3">
        <w:rPr>
          <w:lang w:val="de-DE"/>
        </w:rPr>
        <w:t xml:space="preserve"> Rail Market Monitoring (RMMS).</w:t>
      </w:r>
    </w:p>
  </w:footnote>
  <w:footnote w:id="6">
    <w:p w14:paraId="164251C9" w14:textId="77777777" w:rsidR="00EB1D16" w:rsidRPr="00D80E81" w:rsidRDefault="00EB1D16" w:rsidP="00EB1D16">
      <w:pPr>
        <w:pStyle w:val="Notedebasdepage"/>
        <w:rPr>
          <w:lang w:val="en-US"/>
        </w:rPr>
      </w:pPr>
      <w:r>
        <w:rPr>
          <w:rStyle w:val="Appelnotedebasdep"/>
        </w:rPr>
        <w:footnoteRef/>
      </w:r>
      <w:r w:rsidRPr="00D80E81">
        <w:rPr>
          <w:lang w:val="en-US"/>
        </w:rPr>
        <w:t xml:space="preserve"> </w:t>
      </w:r>
      <w:proofErr w:type="spellStart"/>
      <w:r w:rsidRPr="009762C1">
        <w:rPr>
          <w:lang w:val="en-US"/>
        </w:rPr>
        <w:t>Mizutani</w:t>
      </w:r>
      <w:proofErr w:type="spellEnd"/>
      <w:r w:rsidRPr="009762C1">
        <w:rPr>
          <w:lang w:val="en-US"/>
        </w:rPr>
        <w:t>, F.</w:t>
      </w:r>
      <w:r>
        <w:rPr>
          <w:lang w:val="en-US"/>
        </w:rPr>
        <w:t>,</w:t>
      </w:r>
      <w:r w:rsidRPr="009762C1">
        <w:rPr>
          <w:lang w:val="en-US"/>
        </w:rPr>
        <w:t xml:space="preserve"> (2019), “The Impact of Structural Reforms and Regulations on the Demand Side in the Railway Industry”,</w:t>
      </w:r>
      <w:r>
        <w:rPr>
          <w:lang w:val="en-US"/>
        </w:rPr>
        <w:t xml:space="preserve"> </w:t>
      </w:r>
      <w:r w:rsidRPr="009762C1">
        <w:rPr>
          <w:lang w:val="en-US"/>
        </w:rPr>
        <w:t>Review of Network Economics, Vol.18(1), 1-33</w:t>
      </w:r>
      <w:r>
        <w:rPr>
          <w:lang w:val="en-US"/>
        </w:rPr>
        <w:t>.</w:t>
      </w:r>
    </w:p>
  </w:footnote>
  <w:footnote w:id="7">
    <w:p w14:paraId="09485561" w14:textId="77777777" w:rsidR="00EB1D16" w:rsidRDefault="00EB1D16" w:rsidP="00EB1D16">
      <w:pPr>
        <w:pStyle w:val="Notedebasdepage"/>
      </w:pPr>
      <w:r>
        <w:rPr>
          <w:rStyle w:val="Appelnotedebasdep"/>
        </w:rPr>
        <w:footnoteRef/>
      </w:r>
      <w:r>
        <w:t xml:space="preserve"> </w:t>
      </w:r>
      <w:r w:rsidRPr="00FE23BC">
        <w:t xml:space="preserve">Données Rail </w:t>
      </w:r>
      <w:proofErr w:type="spellStart"/>
      <w:r w:rsidRPr="00FE23BC">
        <w:t>Market</w:t>
      </w:r>
      <w:proofErr w:type="spellEnd"/>
      <w:r w:rsidRPr="00FE23BC">
        <w:t xml:space="preserve"> Monitoring (RMMS).</w:t>
      </w:r>
    </w:p>
  </w:footnote>
  <w:footnote w:id="8">
    <w:p w14:paraId="3700170C" w14:textId="77777777" w:rsidR="00EB1D16" w:rsidRDefault="00EB1D16" w:rsidP="00EB1D16">
      <w:pPr>
        <w:pStyle w:val="Notedebasdepage"/>
      </w:pPr>
      <w:r>
        <w:rPr>
          <w:rStyle w:val="Appelnotedebasdep"/>
        </w:rPr>
        <w:footnoteRef/>
      </w:r>
      <w:r>
        <w:t xml:space="preserve"> </w:t>
      </w:r>
      <w:r w:rsidRPr="007475C0">
        <w:t>Sud, Hauts-de-France, Pays-de-la-Loire et Ile-de-France-Mobilités (« IDFM »)</w:t>
      </w:r>
      <w:r>
        <w:t>.</w:t>
      </w:r>
    </w:p>
  </w:footnote>
  <w:footnote w:id="9">
    <w:p w14:paraId="4C9F0253" w14:textId="77777777" w:rsidR="00EB1D16" w:rsidRDefault="00EB1D16" w:rsidP="00EB1D16">
      <w:pPr>
        <w:pStyle w:val="Notedebasdepage"/>
      </w:pPr>
      <w:r>
        <w:rPr>
          <w:rStyle w:val="Appelnotedebasdep"/>
        </w:rPr>
        <w:footnoteRef/>
      </w:r>
      <w:r>
        <w:t xml:space="preserve"> Article 8 du règlement OSP et article 18 de la loi NPF. </w:t>
      </w:r>
    </w:p>
  </w:footnote>
  <w:footnote w:id="10">
    <w:p w14:paraId="0B290E7C" w14:textId="77777777" w:rsidR="00EB1D16" w:rsidRPr="00EE54C6" w:rsidRDefault="00EB1D16" w:rsidP="00EB1D16">
      <w:pPr>
        <w:pStyle w:val="Notedebasdepage"/>
        <w:rPr>
          <w:szCs w:val="21"/>
        </w:rPr>
      </w:pPr>
      <w:r>
        <w:rPr>
          <w:rStyle w:val="Appelnotedebasdep"/>
        </w:rPr>
        <w:footnoteRef/>
      </w:r>
      <w:r>
        <w:t xml:space="preserve"> </w:t>
      </w:r>
      <w:r>
        <w:rPr>
          <w:szCs w:val="21"/>
        </w:rPr>
        <w:t>« </w:t>
      </w:r>
      <w:r w:rsidRPr="00EE54C6">
        <w:rPr>
          <w:i/>
          <w:iCs/>
          <w:szCs w:val="21"/>
        </w:rPr>
        <w:t>L'Autorité de régulation des transports concourt au suivi et au bon fonctionnement, dans ses dimensions techniques, économiques et financières, du système de transport ferroviaire national, notamment du service public et des activités concurrentielles, au bénéfice des usagers et clients des services de transport ferroviaire.</w:t>
      </w:r>
      <w:r>
        <w:rPr>
          <w:szCs w:val="21"/>
        </w:rPr>
        <w:t> »</w:t>
      </w:r>
    </w:p>
  </w:footnote>
  <w:footnote w:id="11">
    <w:p w14:paraId="411D66D7" w14:textId="77777777" w:rsidR="00EB1D16" w:rsidRDefault="00EB1D16" w:rsidP="00EB1D16">
      <w:pPr>
        <w:pStyle w:val="Notedebasdepage"/>
      </w:pPr>
      <w:r>
        <w:rPr>
          <w:rStyle w:val="Appelnotedebasdep"/>
        </w:rPr>
        <w:footnoteRef/>
      </w:r>
      <w:r>
        <w:t xml:space="preserve"> </w:t>
      </w:r>
      <w:r>
        <w:rPr>
          <w:szCs w:val="21"/>
        </w:rPr>
        <w:t xml:space="preserve">Principe </w:t>
      </w:r>
      <w:r w:rsidRPr="000B4341">
        <w:rPr>
          <w:szCs w:val="21"/>
        </w:rPr>
        <w:t>dont le juge administratif fait fréquemment application lorsqu’il doit se prononcer sur des dérogations fondées sur l’urgence)</w:t>
      </w:r>
      <w:r>
        <w:rPr>
          <w:szCs w:val="21"/>
        </w:rPr>
        <w:t>.</w:t>
      </w:r>
    </w:p>
  </w:footnote>
  <w:footnote w:id="12">
    <w:p w14:paraId="1FFF1E00" w14:textId="77777777" w:rsidR="00EB1D16" w:rsidRDefault="00EB1D16" w:rsidP="00EB1D16">
      <w:pPr>
        <w:pStyle w:val="Notedebasdepage"/>
      </w:pPr>
      <w:r>
        <w:rPr>
          <w:rStyle w:val="Appelnotedebasdep"/>
        </w:rPr>
        <w:footnoteRef/>
      </w:r>
      <w:r>
        <w:t xml:space="preserve"> C</w:t>
      </w:r>
      <w:r w:rsidRPr="008027A4">
        <w:t>ommunication de la Commission sur des lignes directrices interprétatives concernant le règlement CE n° 1370/2007 du 23</w:t>
      </w:r>
      <w:r>
        <w:t> </w:t>
      </w:r>
      <w:r w:rsidRPr="008027A4">
        <w:t>octobre</w:t>
      </w:r>
      <w:r>
        <w:t> </w:t>
      </w:r>
      <w:r w:rsidRPr="008027A4">
        <w:t>2007 relatif aux services publics de transport de voyageurs par chemin de fer et par route du 26 juin 2023</w:t>
      </w:r>
      <w:r>
        <w:t>, point</w:t>
      </w:r>
      <w:r w:rsidRPr="00F32D92">
        <w:t xml:space="preserve"> 2.5.3.1</w:t>
      </w:r>
      <w:r>
        <w:t>, page 16.</w:t>
      </w:r>
    </w:p>
  </w:footnote>
  <w:footnote w:id="13">
    <w:p w14:paraId="2C218ABA" w14:textId="77777777" w:rsidR="00EB1D16" w:rsidRDefault="00EB1D16" w:rsidP="00EB1D16">
      <w:pPr>
        <w:pStyle w:val="Notedebasdepage"/>
      </w:pPr>
      <w:r>
        <w:rPr>
          <w:rStyle w:val="Appelnotedebasdep"/>
        </w:rPr>
        <w:footnoteRef/>
      </w:r>
      <w:r>
        <w:t xml:space="preserve"> L’Autorité rappelle à cet effet que les AOT doivent prendre en compte dans leur calendrier d’ouverture du lot considéré la durée nécessaire pour un appel d’offres, en moyenne 18 mois.</w:t>
      </w:r>
    </w:p>
  </w:footnote>
  <w:footnote w:id="14">
    <w:p w14:paraId="1DD3C60F" w14:textId="77777777" w:rsidR="00EB1D16" w:rsidRDefault="00EB1D16" w:rsidP="00EB1D16">
      <w:pPr>
        <w:pStyle w:val="Notedebasdepage"/>
      </w:pPr>
      <w:r>
        <w:rPr>
          <w:rStyle w:val="Appelnotedebasdep"/>
        </w:rPr>
        <w:footnoteRef/>
      </w:r>
      <w:r>
        <w:t xml:space="preserve"> C</w:t>
      </w:r>
      <w:r w:rsidRPr="008027A4">
        <w:t>ommunication de la Commission sur des lignes directrices interprétatives concernant le règlement CE n°</w:t>
      </w:r>
      <w:r>
        <w:t> </w:t>
      </w:r>
      <w:r w:rsidRPr="008027A4">
        <w:t>1370/2007 du 23</w:t>
      </w:r>
      <w:r>
        <w:t> </w:t>
      </w:r>
      <w:r w:rsidRPr="008027A4">
        <w:t>octobre</w:t>
      </w:r>
      <w:r>
        <w:t> </w:t>
      </w:r>
      <w:r w:rsidRPr="008027A4">
        <w:t>2007 relatif aux services publics de transport de voyageurs par chemin de fer et par route du 26 juin 2023</w:t>
      </w:r>
      <w:r>
        <w:t xml:space="preserve">, </w:t>
      </w:r>
      <w:r w:rsidRPr="00E47F84">
        <w:t>point 2.5.3.3., page 18</w:t>
      </w:r>
      <w:r>
        <w:t>.</w:t>
      </w:r>
    </w:p>
  </w:footnote>
  <w:footnote w:id="15">
    <w:p w14:paraId="6061E1AC" w14:textId="77777777" w:rsidR="00EB1D16" w:rsidRDefault="00EB1D16" w:rsidP="00EB1D16">
      <w:pPr>
        <w:pStyle w:val="Notedebasdepage"/>
      </w:pPr>
      <w:r>
        <w:rPr>
          <w:rStyle w:val="Appelnotedebasdep"/>
        </w:rPr>
        <w:footnoteRef/>
      </w:r>
      <w:r>
        <w:t xml:space="preserve"> </w:t>
      </w:r>
      <w:r w:rsidRPr="00AF3AAF">
        <w:rPr>
          <w:i/>
          <w:iCs/>
        </w:rPr>
        <w:t>Ibid.</w:t>
      </w:r>
      <w:r>
        <w:t xml:space="preserve">, </w:t>
      </w:r>
      <w:r w:rsidRPr="00E47F84">
        <w:t>point 2.5.3.3, page 17</w:t>
      </w:r>
      <w:r>
        <w:t>.</w:t>
      </w:r>
    </w:p>
  </w:footnote>
  <w:footnote w:id="16">
    <w:p w14:paraId="261B747A" w14:textId="77777777" w:rsidR="00EB1D16" w:rsidRDefault="00EB1D16" w:rsidP="00EB1D16">
      <w:pPr>
        <w:pStyle w:val="Notedebasdepage"/>
      </w:pPr>
      <w:r>
        <w:rPr>
          <w:rStyle w:val="Appelnotedebasdep"/>
        </w:rPr>
        <w:footnoteRef/>
      </w:r>
      <w:r>
        <w:t xml:space="preserve"> </w:t>
      </w:r>
      <w:r w:rsidRPr="009424D8">
        <w:rPr>
          <w:i/>
          <w:iCs/>
        </w:rPr>
        <w:t>Ibid.</w:t>
      </w:r>
      <w:r w:rsidRPr="009424D8">
        <w:t>, p</w:t>
      </w:r>
      <w:r>
        <w:t>oint</w:t>
      </w:r>
      <w:r w:rsidRPr="009424D8">
        <w:t xml:space="preserve"> 2.5.3.3., page 18.</w:t>
      </w:r>
    </w:p>
  </w:footnote>
  <w:footnote w:id="17">
    <w:p w14:paraId="065042DE" w14:textId="77777777" w:rsidR="00EB1D16" w:rsidRDefault="00EB1D16" w:rsidP="00EB1D16">
      <w:pPr>
        <w:pStyle w:val="Notedebasdepage"/>
      </w:pPr>
      <w:r>
        <w:rPr>
          <w:rStyle w:val="Appelnotedebasdep"/>
        </w:rPr>
        <w:footnoteRef/>
      </w:r>
      <w:r>
        <w:t xml:space="preserve"> La compréhension des caractéristiques des lignes constituant le ou les lots nécessite de produire</w:t>
      </w:r>
      <w:r>
        <w:rPr>
          <w:rStyle w:val="normaltextrun"/>
          <w:rFonts w:eastAsia="Roboto" w:cs="Roboto"/>
        </w:rPr>
        <w:t xml:space="preserve"> n</w:t>
      </w:r>
      <w:r w:rsidRPr="260742AF">
        <w:rPr>
          <w:rStyle w:val="normaltextrun"/>
          <w:rFonts w:eastAsia="Roboto" w:cs="Roboto"/>
        </w:rPr>
        <w:t>otamment les (i) schémas de ligne, (ii) classement UIC, (iii) documents d’exploitation SNCF Réseau de la ligne (RT), (iv) parcours de chaque ligne des lots concernés sur une carte ATLAS du Réseau ferré au format informatique.</w:t>
      </w:r>
    </w:p>
  </w:footnote>
  <w:footnote w:id="18">
    <w:p w14:paraId="5021EA42" w14:textId="77777777" w:rsidR="00EB1D16" w:rsidRDefault="00EB1D16" w:rsidP="00EB1D16">
      <w:pPr>
        <w:pStyle w:val="Notedebasdepage"/>
      </w:pPr>
      <w:r>
        <w:rPr>
          <w:rStyle w:val="Appelnotedebasdep"/>
        </w:rPr>
        <w:footnoteRef/>
      </w:r>
      <w:r>
        <w:t xml:space="preserve"> Article 4, paragraphe 4 du règlement OSP.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A094" w14:textId="77777777" w:rsidR="009906F9" w:rsidRDefault="009906F9" w:rsidP="009906F9">
    <w:pPr>
      <w:spacing w:before="0" w:after="0"/>
    </w:pPr>
    <w:r w:rsidRPr="000847A8">
      <w:rPr>
        <w:noProof/>
        <w:lang w:eastAsia="en-US"/>
      </w:rPr>
      <w:drawing>
        <wp:anchor distT="0" distB="0" distL="114300" distR="114300" simplePos="0" relativeHeight="251658240" behindDoc="1" locked="0" layoutInCell="1" allowOverlap="1" wp14:anchorId="52A1222D" wp14:editId="0AA8F231">
          <wp:simplePos x="0" y="0"/>
          <wp:positionH relativeFrom="margin">
            <wp:posOffset>-904240</wp:posOffset>
          </wp:positionH>
          <wp:positionV relativeFrom="page">
            <wp:posOffset>-635</wp:posOffset>
          </wp:positionV>
          <wp:extent cx="7559675" cy="14382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rotWithShape="1">
                  <a:blip r:embed="rId1">
                    <a:extLst>
                      <a:ext uri="{28A0092B-C50C-407E-A947-70E740481C1C}">
                        <a14:useLocalDpi xmlns:a14="http://schemas.microsoft.com/office/drawing/2010/main" val="0"/>
                      </a:ext>
                    </a:extLst>
                  </a:blip>
                  <a:srcRect b="86539"/>
                  <a:stretch/>
                </pic:blipFill>
                <pic:spPr bwMode="auto">
                  <a:xfrm>
                    <a:off x="0" y="0"/>
                    <a:ext cx="7559675"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99F"/>
    <w:multiLevelType w:val="multilevel"/>
    <w:tmpl w:val="62FE465C"/>
    <w:lvl w:ilvl="0">
      <w:start w:val="1"/>
      <w:numFmt w:val="decimal"/>
      <w:pStyle w:val="Titre1"/>
      <w:lvlText w:val="%1."/>
      <w:lvlJc w:val="left"/>
      <w:pPr>
        <w:ind w:left="284" w:hanging="284"/>
      </w:pPr>
      <w:rPr>
        <w:rFonts w:ascii="Roboto" w:hAnsi="Roboto" w:hint="default"/>
        <w:b/>
        <w:i w:val="0"/>
        <w:color w:val="24356D"/>
        <w:sz w:val="24"/>
      </w:rPr>
    </w:lvl>
    <w:lvl w:ilvl="1">
      <w:start w:val="1"/>
      <w:numFmt w:val="decimal"/>
      <w:pStyle w:val="Titre2"/>
      <w:lvlText w:val="%1.%2."/>
      <w:lvlJc w:val="left"/>
      <w:pPr>
        <w:ind w:left="510" w:hanging="283"/>
      </w:pPr>
      <w:rPr>
        <w:rFonts w:ascii="Roboto" w:hAnsi="Roboto" w:hint="default"/>
        <w:b/>
        <w:i w:val="0"/>
        <w:color w:val="24356D"/>
        <w:sz w:val="22"/>
      </w:rPr>
    </w:lvl>
    <w:lvl w:ilvl="2">
      <w:start w:val="1"/>
      <w:numFmt w:val="decimal"/>
      <w:pStyle w:val="Titre3"/>
      <w:lvlText w:val="%1.%2.%3."/>
      <w:lvlJc w:val="left"/>
      <w:pPr>
        <w:tabs>
          <w:tab w:val="num" w:pos="567"/>
        </w:tabs>
        <w:ind w:left="1474" w:hanging="907"/>
      </w:pPr>
      <w:rPr>
        <w:rFonts w:hint="default"/>
        <w:b/>
        <w:bCs/>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lvlText w:val="%4."/>
      <w:lvlJc w:val="left"/>
      <w:pPr>
        <w:ind w:left="1021" w:hanging="313"/>
      </w:pPr>
      <w:rPr>
        <w:rFonts w:ascii="Roboto" w:hAnsi="Roboto" w:hint="default"/>
        <w:b w:val="0"/>
        <w:i/>
        <w:color w:val="auto"/>
        <w:sz w:val="19"/>
      </w:rPr>
    </w:lvl>
    <w:lvl w:ilvl="4">
      <w:start w:val="1"/>
      <w:numFmt w:val="bullet"/>
      <w:pStyle w:val="Titre5"/>
      <w:suff w:val="space"/>
      <w:lvlText w:val=""/>
      <w:lvlJc w:val="left"/>
      <w:pPr>
        <w:ind w:left="3756" w:hanging="113"/>
      </w:pPr>
      <w:rPr>
        <w:rFonts w:ascii="Wingdings" w:hAnsi="Wingdings" w:hint="default"/>
        <w:color w:val="24356D"/>
      </w:rPr>
    </w:lvl>
    <w:lvl w:ilvl="5">
      <w:start w:val="1"/>
      <w:numFmt w:val="lowerRoman"/>
      <w:lvlText w:val="%6."/>
      <w:lvlJc w:val="right"/>
      <w:pPr>
        <w:ind w:left="6375" w:hanging="180"/>
      </w:pPr>
      <w:rPr>
        <w:rFonts w:hint="default"/>
      </w:rPr>
    </w:lvl>
    <w:lvl w:ilvl="6">
      <w:start w:val="1"/>
      <w:numFmt w:val="decimal"/>
      <w:lvlText w:val="%7."/>
      <w:lvlJc w:val="left"/>
      <w:pPr>
        <w:ind w:left="7095" w:hanging="360"/>
      </w:pPr>
      <w:rPr>
        <w:rFonts w:hint="default"/>
      </w:rPr>
    </w:lvl>
    <w:lvl w:ilvl="7">
      <w:start w:val="1"/>
      <w:numFmt w:val="lowerLetter"/>
      <w:lvlText w:val="%8."/>
      <w:lvlJc w:val="left"/>
      <w:pPr>
        <w:ind w:left="7815" w:hanging="360"/>
      </w:pPr>
      <w:rPr>
        <w:rFonts w:hint="default"/>
      </w:rPr>
    </w:lvl>
    <w:lvl w:ilvl="8">
      <w:start w:val="1"/>
      <w:numFmt w:val="lowerRoman"/>
      <w:lvlText w:val="%9."/>
      <w:lvlJc w:val="right"/>
      <w:pPr>
        <w:ind w:left="8535" w:hanging="180"/>
      </w:pPr>
      <w:rPr>
        <w:rFonts w:hint="default"/>
      </w:rPr>
    </w:lvl>
  </w:abstractNum>
  <w:abstractNum w:abstractNumId="1" w15:restartNumberingAfterBreak="0">
    <w:nsid w:val="0F252A59"/>
    <w:multiLevelType w:val="multilevel"/>
    <w:tmpl w:val="BC0ED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144DE"/>
    <w:multiLevelType w:val="hybridMultilevel"/>
    <w:tmpl w:val="FA88D344"/>
    <w:lvl w:ilvl="0" w:tplc="791A54DC">
      <w:start w:val="1"/>
      <w:numFmt w:val="bullet"/>
      <w:pStyle w:val="Listeavis"/>
      <w:lvlText w:val=""/>
      <w:lvlJc w:val="left"/>
      <w:pPr>
        <w:ind w:left="360" w:hanging="360"/>
      </w:pPr>
      <w:rPr>
        <w:rFonts w:ascii="Wingdings" w:hAnsi="Wingdings" w:hint="default"/>
        <w:color w:val="auto"/>
        <w:spacing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0D94DE8"/>
    <w:multiLevelType w:val="hybridMultilevel"/>
    <w:tmpl w:val="1184411C"/>
    <w:lvl w:ilvl="0" w:tplc="8CD653C4">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28051181"/>
    <w:multiLevelType w:val="hybridMultilevel"/>
    <w:tmpl w:val="76366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5D7442"/>
    <w:multiLevelType w:val="hybridMultilevel"/>
    <w:tmpl w:val="5336AA7A"/>
    <w:lvl w:ilvl="0" w:tplc="7B32D3CA">
      <w:numFmt w:val="bullet"/>
      <w:lvlText w:val="-"/>
      <w:lvlJc w:val="left"/>
      <w:pPr>
        <w:ind w:left="720" w:hanging="360"/>
      </w:pPr>
      <w:rPr>
        <w:rFonts w:ascii="Franklin Gothic Book" w:hAnsi="Franklin Gothic 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BF1EB5"/>
    <w:multiLevelType w:val="hybridMultilevel"/>
    <w:tmpl w:val="E36A017A"/>
    <w:lvl w:ilvl="0" w:tplc="12EC4C7E">
      <w:start w:val="1"/>
      <w:numFmt w:val="decimal"/>
      <w:pStyle w:val="Listenumrotei"/>
      <w:lvlText w:val="Question %1"/>
      <w:lvlJc w:val="left"/>
      <w:pPr>
        <w:ind w:left="1145" w:hanging="720"/>
      </w:pPr>
      <w:rPr>
        <w:color w:val="24356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E037D5"/>
    <w:multiLevelType w:val="hybridMultilevel"/>
    <w:tmpl w:val="5ADC34AE"/>
    <w:lvl w:ilvl="0" w:tplc="B130F09C">
      <w:start w:val="13"/>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FD7FB1"/>
    <w:multiLevelType w:val="hybridMultilevel"/>
    <w:tmpl w:val="6232A3F4"/>
    <w:lvl w:ilvl="0" w:tplc="64A223EE">
      <w:start w:val="1"/>
      <w:numFmt w:val="decimal"/>
      <w:pStyle w:val="QuestionMI"/>
      <w:lvlText w:val="%1."/>
      <w:lvlJc w:val="left"/>
      <w:pPr>
        <w:ind w:left="631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B551D90"/>
    <w:multiLevelType w:val="multilevel"/>
    <w:tmpl w:val="996E9FAC"/>
    <w:lvl w:ilvl="0">
      <w:start w:val="1"/>
      <w:numFmt w:val="decimal"/>
      <w:pStyle w:val="Paragraphenumrot"/>
      <w:lvlText w:val="%1."/>
      <w:lvlJc w:val="right"/>
      <w:pPr>
        <w:ind w:left="76" w:hanging="360"/>
      </w:pPr>
      <w:rPr>
        <w:rFonts w:hint="default"/>
        <w:b w:val="0"/>
        <w:color w:val="auto"/>
        <w:sz w:val="18"/>
      </w:rPr>
    </w:lvl>
    <w:lvl w:ilvl="1">
      <w:start w:val="1"/>
      <w:numFmt w:val="decimal"/>
      <w:isLgl/>
      <w:lvlText w:val="%1.%2."/>
      <w:lvlJc w:val="left"/>
      <w:pPr>
        <w:ind w:left="1004"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500"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996" w:hanging="1440"/>
      </w:pPr>
      <w:rPr>
        <w:rFonts w:hint="default"/>
      </w:rPr>
    </w:lvl>
    <w:lvl w:ilvl="6">
      <w:start w:val="1"/>
      <w:numFmt w:val="decimal"/>
      <w:isLgl/>
      <w:lvlText w:val="%1.%2.%3.%4.%5.%6.%7."/>
      <w:lvlJc w:val="left"/>
      <w:pPr>
        <w:ind w:left="4564"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6060" w:hanging="1800"/>
      </w:pPr>
      <w:rPr>
        <w:rFonts w:hint="default"/>
      </w:rPr>
    </w:lvl>
  </w:abstractNum>
  <w:abstractNum w:abstractNumId="11" w15:restartNumberingAfterBreak="0">
    <w:nsid w:val="60AD12BD"/>
    <w:multiLevelType w:val="hybridMultilevel"/>
    <w:tmpl w:val="2F58A42E"/>
    <w:lvl w:ilvl="0" w:tplc="8CD653C4">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74273C2D"/>
    <w:multiLevelType w:val="multilevel"/>
    <w:tmpl w:val="D51893F0"/>
    <w:styleLink w:val="Style1"/>
    <w:lvl w:ilvl="0">
      <w:start w:val="1"/>
      <w:numFmt w:val="decimal"/>
      <w:suff w:val="space"/>
      <w:lvlText w:val="%1."/>
      <w:lvlJc w:val="left"/>
      <w:pPr>
        <w:ind w:left="284" w:hanging="284"/>
      </w:pPr>
      <w:rPr>
        <w:rFonts w:hint="default"/>
        <w:color w:val="24356D" w:themeColor="text2"/>
      </w:rPr>
    </w:lvl>
    <w:lvl w:ilvl="1">
      <w:start w:val="1"/>
      <w:numFmt w:val="decimal"/>
      <w:suff w:val="space"/>
      <w:lvlText w:val="%1.%2."/>
      <w:lvlJc w:val="left"/>
      <w:pPr>
        <w:ind w:left="340" w:hanging="340"/>
      </w:pPr>
      <w:rPr>
        <w:rFonts w:hint="default"/>
        <w:color w:val="24356D" w:themeColor="text2"/>
      </w:rPr>
    </w:lvl>
    <w:lvl w:ilvl="2">
      <w:start w:val="1"/>
      <w:numFmt w:val="decimal"/>
      <w:suff w:val="space"/>
      <w:lvlText w:val="%1.%2.%3."/>
      <w:lvlJc w:val="left"/>
      <w:pPr>
        <w:ind w:left="284" w:firstLine="0"/>
      </w:pPr>
      <w:rPr>
        <w:rFonts w:hint="default"/>
        <w:color w:val="24356D" w:themeColor="text2"/>
        <w:u w:color="24356D" w:themeColor="text2"/>
      </w:rPr>
    </w:lvl>
    <w:lvl w:ilvl="3">
      <w:start w:val="1"/>
      <w:numFmt w:val="lowerLetter"/>
      <w:suff w:val="space"/>
      <w:lvlText w:val="%1.%2.%3.%4."/>
      <w:lvlJc w:val="left"/>
      <w:pPr>
        <w:ind w:left="794" w:hanging="114"/>
      </w:pPr>
      <w:rPr>
        <w:rFonts w:hint="default"/>
        <w:color w:val="24356D" w:themeColor="text2"/>
      </w:rPr>
    </w:lvl>
    <w:lvl w:ilvl="4">
      <w:start w:val="1"/>
      <w:numFmt w:val="bullet"/>
      <w:lvlRestart w:val="0"/>
      <w:suff w:val="space"/>
      <w:lvlText w:val=""/>
      <w:lvlJc w:val="left"/>
      <w:pPr>
        <w:ind w:left="2268" w:hanging="850"/>
      </w:pPr>
      <w:rPr>
        <w:rFonts w:ascii="Wingdings" w:hAnsi="Wingdings" w:hint="default"/>
        <w:color w:val="4D4D4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3" w15:restartNumberingAfterBreak="0">
    <w:nsid w:val="78134FA0"/>
    <w:multiLevelType w:val="hybridMultilevel"/>
    <w:tmpl w:val="AA7C0A74"/>
    <w:lvl w:ilvl="0" w:tplc="67746B56">
      <w:start w:val="1"/>
      <w:numFmt w:val="bullet"/>
      <w:pStyle w:val="Listeavectirets"/>
      <w:lvlText w:val=""/>
      <w:lvlJc w:val="left"/>
      <w:pPr>
        <w:ind w:left="927" w:hanging="360"/>
      </w:pPr>
      <w:rPr>
        <w:rFonts w:ascii="Symbol" w:hAnsi="Symbol" w:hint="default"/>
      </w:rPr>
    </w:lvl>
    <w:lvl w:ilvl="1" w:tplc="4A644938">
      <w:numFmt w:val="bullet"/>
      <w:lvlText w:val="-"/>
      <w:lvlJc w:val="left"/>
      <w:pPr>
        <w:ind w:left="-4089" w:hanging="360"/>
      </w:pPr>
      <w:rPr>
        <w:rFonts w:ascii="Roboto" w:eastAsiaTheme="minorHAnsi" w:hAnsi="Roboto" w:cs="Times New Roman" w:hint="default"/>
      </w:rPr>
    </w:lvl>
    <w:lvl w:ilvl="2" w:tplc="040C0005" w:tentative="1">
      <w:start w:val="1"/>
      <w:numFmt w:val="bullet"/>
      <w:lvlText w:val=""/>
      <w:lvlJc w:val="left"/>
      <w:pPr>
        <w:ind w:left="-3369" w:hanging="360"/>
      </w:pPr>
      <w:rPr>
        <w:rFonts w:ascii="Wingdings" w:hAnsi="Wingdings" w:hint="default"/>
      </w:rPr>
    </w:lvl>
    <w:lvl w:ilvl="3" w:tplc="040C0001" w:tentative="1">
      <w:start w:val="1"/>
      <w:numFmt w:val="bullet"/>
      <w:lvlText w:val=""/>
      <w:lvlJc w:val="left"/>
      <w:pPr>
        <w:ind w:left="-2649" w:hanging="360"/>
      </w:pPr>
      <w:rPr>
        <w:rFonts w:ascii="Symbol" w:hAnsi="Symbol" w:hint="default"/>
      </w:rPr>
    </w:lvl>
    <w:lvl w:ilvl="4" w:tplc="040C0003" w:tentative="1">
      <w:start w:val="1"/>
      <w:numFmt w:val="bullet"/>
      <w:lvlText w:val="o"/>
      <w:lvlJc w:val="left"/>
      <w:pPr>
        <w:ind w:left="-1929" w:hanging="360"/>
      </w:pPr>
      <w:rPr>
        <w:rFonts w:ascii="Courier New" w:hAnsi="Courier New" w:cs="Courier New" w:hint="default"/>
      </w:rPr>
    </w:lvl>
    <w:lvl w:ilvl="5" w:tplc="040C0005" w:tentative="1">
      <w:start w:val="1"/>
      <w:numFmt w:val="bullet"/>
      <w:lvlText w:val=""/>
      <w:lvlJc w:val="left"/>
      <w:pPr>
        <w:ind w:left="-1209" w:hanging="360"/>
      </w:pPr>
      <w:rPr>
        <w:rFonts w:ascii="Wingdings" w:hAnsi="Wingdings" w:hint="default"/>
      </w:rPr>
    </w:lvl>
    <w:lvl w:ilvl="6" w:tplc="040C0001" w:tentative="1">
      <w:start w:val="1"/>
      <w:numFmt w:val="bullet"/>
      <w:lvlText w:val=""/>
      <w:lvlJc w:val="left"/>
      <w:pPr>
        <w:ind w:left="-489" w:hanging="360"/>
      </w:pPr>
      <w:rPr>
        <w:rFonts w:ascii="Symbol" w:hAnsi="Symbol" w:hint="default"/>
      </w:rPr>
    </w:lvl>
    <w:lvl w:ilvl="7" w:tplc="040C0003" w:tentative="1">
      <w:start w:val="1"/>
      <w:numFmt w:val="bullet"/>
      <w:lvlText w:val="o"/>
      <w:lvlJc w:val="left"/>
      <w:pPr>
        <w:ind w:left="231" w:hanging="360"/>
      </w:pPr>
      <w:rPr>
        <w:rFonts w:ascii="Courier New" w:hAnsi="Courier New" w:cs="Courier New" w:hint="default"/>
      </w:rPr>
    </w:lvl>
    <w:lvl w:ilvl="8" w:tplc="040C0005" w:tentative="1">
      <w:start w:val="1"/>
      <w:numFmt w:val="bullet"/>
      <w:lvlText w:val=""/>
      <w:lvlJc w:val="left"/>
      <w:pPr>
        <w:ind w:left="951" w:hanging="360"/>
      </w:pPr>
      <w:rPr>
        <w:rFonts w:ascii="Wingdings" w:hAnsi="Wingdings" w:hint="default"/>
      </w:rPr>
    </w:lvl>
  </w:abstractNum>
  <w:num w:numId="1" w16cid:durableId="1456411626">
    <w:abstractNumId w:val="7"/>
  </w:num>
  <w:num w:numId="2" w16cid:durableId="396786028">
    <w:abstractNumId w:val="12"/>
  </w:num>
  <w:num w:numId="3" w16cid:durableId="63963792">
    <w:abstractNumId w:val="10"/>
  </w:num>
  <w:num w:numId="4" w16cid:durableId="639723932">
    <w:abstractNumId w:val="13"/>
  </w:num>
  <w:num w:numId="5" w16cid:durableId="1912153281">
    <w:abstractNumId w:val="0"/>
  </w:num>
  <w:num w:numId="6" w16cid:durableId="334378836">
    <w:abstractNumId w:val="0"/>
    <w:lvlOverride w:ilvl="0">
      <w:lvl w:ilvl="0">
        <w:start w:val="1"/>
        <w:numFmt w:val="decimal"/>
        <w:pStyle w:val="Titre1"/>
        <w:suff w:val="space"/>
        <w:lvlText w:val="%1."/>
        <w:lvlJc w:val="left"/>
        <w:pPr>
          <w:ind w:left="2395" w:hanging="340"/>
        </w:pPr>
        <w:rPr>
          <w:rFonts w:ascii="Roboto" w:hAnsi="Roboto" w:hint="default"/>
          <w:b/>
          <w:i w:val="0"/>
          <w:color w:val="24356D"/>
          <w:sz w:val="24"/>
        </w:rPr>
      </w:lvl>
    </w:lvlOverride>
    <w:lvlOverride w:ilvl="1">
      <w:lvl w:ilvl="1">
        <w:start w:val="1"/>
        <w:numFmt w:val="decimal"/>
        <w:pStyle w:val="Titre2"/>
        <w:suff w:val="space"/>
        <w:lvlText w:val="%1.%2."/>
        <w:lvlJc w:val="left"/>
        <w:pPr>
          <w:ind w:left="2509" w:hanging="454"/>
        </w:pPr>
        <w:rPr>
          <w:rFonts w:ascii="Roboto" w:hAnsi="Roboto" w:hint="default"/>
          <w:b/>
          <w:i w:val="0"/>
          <w:color w:val="24356D"/>
          <w:sz w:val="22"/>
        </w:rPr>
      </w:lvl>
    </w:lvlOverride>
    <w:lvlOverride w:ilvl="2">
      <w:lvl w:ilvl="2">
        <w:start w:val="1"/>
        <w:numFmt w:val="decimal"/>
        <w:pStyle w:val="Titre3"/>
        <w:suff w:val="space"/>
        <w:lvlText w:val="%1.%2.%3."/>
        <w:lvlJc w:val="left"/>
        <w:pPr>
          <w:ind w:left="1616" w:hanging="62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Titre4"/>
        <w:suff w:val="space"/>
        <w:lvlText w:val="%4."/>
        <w:lvlJc w:val="left"/>
        <w:pPr>
          <w:ind w:left="991" w:hanging="283"/>
        </w:pPr>
        <w:rPr>
          <w:rFonts w:ascii="Roboto" w:hAnsi="Roboto" w:hint="default"/>
          <w:b w:val="0"/>
          <w:i/>
          <w:color w:val="auto"/>
        </w:rPr>
      </w:lvl>
    </w:lvlOverride>
    <w:lvlOverride w:ilvl="4">
      <w:lvl w:ilvl="4">
        <w:start w:val="1"/>
        <w:numFmt w:val="bullet"/>
        <w:pStyle w:val="Titre5"/>
        <w:suff w:val="space"/>
        <w:lvlText w:val=""/>
        <w:lvlJc w:val="left"/>
        <w:pPr>
          <w:ind w:left="3756" w:hanging="113"/>
        </w:pPr>
        <w:rPr>
          <w:rFonts w:ascii="Wingdings" w:hAnsi="Wingdings" w:hint="default"/>
          <w:color w:val="24356D"/>
        </w:rPr>
      </w:lvl>
    </w:lvlOverride>
    <w:lvlOverride w:ilvl="5">
      <w:lvl w:ilvl="5">
        <w:start w:val="1"/>
        <w:numFmt w:val="lowerRoman"/>
        <w:lvlText w:val="%6."/>
        <w:lvlJc w:val="right"/>
        <w:pPr>
          <w:ind w:left="6375" w:hanging="180"/>
        </w:pPr>
        <w:rPr>
          <w:rFonts w:hint="default"/>
        </w:rPr>
      </w:lvl>
    </w:lvlOverride>
    <w:lvlOverride w:ilvl="6">
      <w:lvl w:ilvl="6">
        <w:start w:val="1"/>
        <w:numFmt w:val="decimal"/>
        <w:lvlText w:val="%7."/>
        <w:lvlJc w:val="left"/>
        <w:pPr>
          <w:ind w:left="7095" w:hanging="360"/>
        </w:pPr>
        <w:rPr>
          <w:rFonts w:hint="default"/>
        </w:rPr>
      </w:lvl>
    </w:lvlOverride>
    <w:lvlOverride w:ilvl="7">
      <w:lvl w:ilvl="7">
        <w:start w:val="1"/>
        <w:numFmt w:val="lowerLetter"/>
        <w:lvlText w:val="%8."/>
        <w:lvlJc w:val="left"/>
        <w:pPr>
          <w:ind w:left="7815" w:hanging="360"/>
        </w:pPr>
        <w:rPr>
          <w:rFonts w:hint="default"/>
        </w:rPr>
      </w:lvl>
    </w:lvlOverride>
    <w:lvlOverride w:ilvl="8">
      <w:lvl w:ilvl="8">
        <w:start w:val="1"/>
        <w:numFmt w:val="lowerRoman"/>
        <w:lvlText w:val="%9."/>
        <w:lvlJc w:val="right"/>
        <w:pPr>
          <w:ind w:left="8535" w:hanging="180"/>
        </w:pPr>
        <w:rPr>
          <w:rFonts w:hint="default"/>
        </w:rPr>
      </w:lvl>
    </w:lvlOverride>
  </w:num>
  <w:num w:numId="7" w16cid:durableId="9205293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540111">
    <w:abstractNumId w:val="2"/>
  </w:num>
  <w:num w:numId="9" w16cid:durableId="1520123633">
    <w:abstractNumId w:val="6"/>
  </w:num>
  <w:num w:numId="10" w16cid:durableId="1053843724">
    <w:abstractNumId w:val="8"/>
  </w:num>
  <w:num w:numId="11" w16cid:durableId="1494952398">
    <w:abstractNumId w:val="11"/>
  </w:num>
  <w:num w:numId="12" w16cid:durableId="1506363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0360825">
    <w:abstractNumId w:val="4"/>
  </w:num>
  <w:num w:numId="14" w16cid:durableId="614559316">
    <w:abstractNumId w:val="1"/>
  </w:num>
  <w:num w:numId="15" w16cid:durableId="669992653">
    <w:abstractNumId w:val="5"/>
  </w:num>
  <w:num w:numId="16" w16cid:durableId="567158323">
    <w:abstractNumId w:val="3"/>
  </w:num>
  <w:num w:numId="17" w16cid:durableId="1654213649">
    <w:abstractNumId w:val="0"/>
    <w:lvlOverride w:ilvl="0">
      <w:lvl w:ilvl="0">
        <w:start w:val="1"/>
        <w:numFmt w:val="decimal"/>
        <w:pStyle w:val="Titre1"/>
        <w:lvlText w:val="%1."/>
        <w:lvlJc w:val="left"/>
        <w:pPr>
          <w:ind w:left="397" w:hanging="397"/>
        </w:pPr>
        <w:rPr>
          <w:rFonts w:ascii="Roboto" w:hAnsi="Roboto" w:hint="default"/>
          <w:b/>
          <w:i w:val="0"/>
          <w:color w:val="24356D"/>
          <w:sz w:val="24"/>
        </w:rPr>
      </w:lvl>
    </w:lvlOverride>
    <w:lvlOverride w:ilvl="1">
      <w:lvl w:ilvl="1">
        <w:start w:val="1"/>
        <w:numFmt w:val="decimal"/>
        <w:pStyle w:val="Titre2"/>
        <w:lvlText w:val="%1.%2."/>
        <w:lvlJc w:val="left"/>
        <w:pPr>
          <w:ind w:left="907" w:hanging="680"/>
        </w:pPr>
        <w:rPr>
          <w:rFonts w:ascii="Roboto" w:hAnsi="Roboto" w:hint="default"/>
          <w:b/>
          <w:i w:val="0"/>
          <w:color w:val="24356D"/>
          <w:sz w:val="22"/>
        </w:rPr>
      </w:lvl>
    </w:lvlOverride>
    <w:lvlOverride w:ilvl="2">
      <w:lvl w:ilvl="2">
        <w:start w:val="1"/>
        <w:numFmt w:val="decimal"/>
        <w:pStyle w:val="Titre3"/>
        <w:lvlText w:val="%1.%2.%3."/>
        <w:lvlJc w:val="left"/>
        <w:pPr>
          <w:tabs>
            <w:tab w:val="num" w:pos="567"/>
          </w:tabs>
          <w:ind w:left="1474" w:hanging="907"/>
        </w:pPr>
        <w:rPr>
          <w:rFonts w:hint="default"/>
          <w:b/>
          <w:bCs/>
          <w:i w:val="0"/>
          <w:iCs w:val="0"/>
          <w:caps w:val="0"/>
          <w:smallCaps w:val="0"/>
          <w:strike w:val="0"/>
          <w:dstrike w:val="0"/>
          <w:vanish w:val="0"/>
          <w:color w:val="00206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Titre4"/>
        <w:lvlText w:val="%4."/>
        <w:lvlJc w:val="left"/>
        <w:pPr>
          <w:ind w:left="991" w:hanging="283"/>
        </w:pPr>
        <w:rPr>
          <w:rFonts w:ascii="Roboto" w:hAnsi="Roboto" w:hint="default"/>
          <w:b w:val="0"/>
          <w:i/>
          <w:color w:val="auto"/>
          <w:sz w:val="19"/>
        </w:rPr>
      </w:lvl>
    </w:lvlOverride>
    <w:lvlOverride w:ilvl="4">
      <w:lvl w:ilvl="4">
        <w:start w:val="1"/>
        <w:numFmt w:val="bullet"/>
        <w:pStyle w:val="Titre5"/>
        <w:suff w:val="space"/>
        <w:lvlText w:val=""/>
        <w:lvlJc w:val="left"/>
        <w:pPr>
          <w:ind w:left="3756" w:hanging="113"/>
        </w:pPr>
        <w:rPr>
          <w:rFonts w:ascii="Wingdings" w:hAnsi="Wingdings" w:hint="default"/>
          <w:color w:val="24356D"/>
        </w:rPr>
      </w:lvl>
    </w:lvlOverride>
    <w:lvlOverride w:ilvl="5">
      <w:lvl w:ilvl="5">
        <w:start w:val="1"/>
        <w:numFmt w:val="lowerRoman"/>
        <w:lvlText w:val="%6."/>
        <w:lvlJc w:val="right"/>
        <w:pPr>
          <w:ind w:left="6375" w:hanging="180"/>
        </w:pPr>
        <w:rPr>
          <w:rFonts w:hint="default"/>
        </w:rPr>
      </w:lvl>
    </w:lvlOverride>
    <w:lvlOverride w:ilvl="6">
      <w:lvl w:ilvl="6">
        <w:start w:val="1"/>
        <w:numFmt w:val="decimal"/>
        <w:lvlText w:val="%7."/>
        <w:lvlJc w:val="left"/>
        <w:pPr>
          <w:ind w:left="7095" w:hanging="360"/>
        </w:pPr>
        <w:rPr>
          <w:rFonts w:hint="default"/>
        </w:rPr>
      </w:lvl>
    </w:lvlOverride>
    <w:lvlOverride w:ilvl="7">
      <w:lvl w:ilvl="7">
        <w:start w:val="1"/>
        <w:numFmt w:val="lowerLetter"/>
        <w:lvlText w:val="%8."/>
        <w:lvlJc w:val="left"/>
        <w:pPr>
          <w:ind w:left="7815" w:hanging="360"/>
        </w:pPr>
        <w:rPr>
          <w:rFonts w:hint="default"/>
        </w:rPr>
      </w:lvl>
    </w:lvlOverride>
    <w:lvlOverride w:ilvl="8">
      <w:lvl w:ilvl="8">
        <w:start w:val="1"/>
        <w:numFmt w:val="lowerRoman"/>
        <w:lvlText w:val="%9."/>
        <w:lvlJc w:val="right"/>
        <w:pPr>
          <w:ind w:left="8535" w:hanging="18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69"/>
    <w:rsid w:val="00000ADA"/>
    <w:rsid w:val="00000C6C"/>
    <w:rsid w:val="00000FD8"/>
    <w:rsid w:val="00001E28"/>
    <w:rsid w:val="00002CC3"/>
    <w:rsid w:val="00002CCD"/>
    <w:rsid w:val="00003069"/>
    <w:rsid w:val="0000444C"/>
    <w:rsid w:val="00004914"/>
    <w:rsid w:val="000053D3"/>
    <w:rsid w:val="000057D2"/>
    <w:rsid w:val="000062F2"/>
    <w:rsid w:val="00007118"/>
    <w:rsid w:val="00007EBD"/>
    <w:rsid w:val="0001030C"/>
    <w:rsid w:val="00010E90"/>
    <w:rsid w:val="000116C8"/>
    <w:rsid w:val="000120F2"/>
    <w:rsid w:val="0001264B"/>
    <w:rsid w:val="00012FB2"/>
    <w:rsid w:val="000134CB"/>
    <w:rsid w:val="00014E31"/>
    <w:rsid w:val="00015FC3"/>
    <w:rsid w:val="000167BD"/>
    <w:rsid w:val="00016BFB"/>
    <w:rsid w:val="000171D9"/>
    <w:rsid w:val="00020C54"/>
    <w:rsid w:val="00020DF2"/>
    <w:rsid w:val="0002129B"/>
    <w:rsid w:val="00022765"/>
    <w:rsid w:val="000233E4"/>
    <w:rsid w:val="000236A6"/>
    <w:rsid w:val="000238FB"/>
    <w:rsid w:val="00024164"/>
    <w:rsid w:val="0002610C"/>
    <w:rsid w:val="000267D9"/>
    <w:rsid w:val="000304C9"/>
    <w:rsid w:val="00030521"/>
    <w:rsid w:val="00031226"/>
    <w:rsid w:val="000327E4"/>
    <w:rsid w:val="0003280C"/>
    <w:rsid w:val="00033163"/>
    <w:rsid w:val="000336DE"/>
    <w:rsid w:val="00035796"/>
    <w:rsid w:val="00035E48"/>
    <w:rsid w:val="0003674A"/>
    <w:rsid w:val="000367D9"/>
    <w:rsid w:val="00037351"/>
    <w:rsid w:val="00037377"/>
    <w:rsid w:val="00041957"/>
    <w:rsid w:val="0004205F"/>
    <w:rsid w:val="000423A0"/>
    <w:rsid w:val="00042D77"/>
    <w:rsid w:val="00043C8B"/>
    <w:rsid w:val="0004477B"/>
    <w:rsid w:val="0004515A"/>
    <w:rsid w:val="00045CEB"/>
    <w:rsid w:val="0004645A"/>
    <w:rsid w:val="000465F0"/>
    <w:rsid w:val="00046E34"/>
    <w:rsid w:val="000476BD"/>
    <w:rsid w:val="00047D09"/>
    <w:rsid w:val="000521E1"/>
    <w:rsid w:val="000543F7"/>
    <w:rsid w:val="00054680"/>
    <w:rsid w:val="00054D51"/>
    <w:rsid w:val="0005621B"/>
    <w:rsid w:val="0005685E"/>
    <w:rsid w:val="00056E56"/>
    <w:rsid w:val="000575FA"/>
    <w:rsid w:val="00057BF8"/>
    <w:rsid w:val="00057CB6"/>
    <w:rsid w:val="00060112"/>
    <w:rsid w:val="00061B9D"/>
    <w:rsid w:val="00062C77"/>
    <w:rsid w:val="00062D1C"/>
    <w:rsid w:val="000636C9"/>
    <w:rsid w:val="00063AE6"/>
    <w:rsid w:val="00064EEE"/>
    <w:rsid w:val="00065962"/>
    <w:rsid w:val="00065BA3"/>
    <w:rsid w:val="0006739A"/>
    <w:rsid w:val="00067F3B"/>
    <w:rsid w:val="000718CA"/>
    <w:rsid w:val="00072428"/>
    <w:rsid w:val="0007244E"/>
    <w:rsid w:val="00072E36"/>
    <w:rsid w:val="000732CF"/>
    <w:rsid w:val="0007439E"/>
    <w:rsid w:val="00074490"/>
    <w:rsid w:val="00074ED3"/>
    <w:rsid w:val="00076B75"/>
    <w:rsid w:val="0007767F"/>
    <w:rsid w:val="00077EFC"/>
    <w:rsid w:val="00077F8E"/>
    <w:rsid w:val="00080A4C"/>
    <w:rsid w:val="00080C9C"/>
    <w:rsid w:val="00080FAB"/>
    <w:rsid w:val="0008109D"/>
    <w:rsid w:val="000819D0"/>
    <w:rsid w:val="0008371A"/>
    <w:rsid w:val="00084413"/>
    <w:rsid w:val="000847D5"/>
    <w:rsid w:val="0008583B"/>
    <w:rsid w:val="00086094"/>
    <w:rsid w:val="00087125"/>
    <w:rsid w:val="000903EF"/>
    <w:rsid w:val="000909F6"/>
    <w:rsid w:val="000911D4"/>
    <w:rsid w:val="00091253"/>
    <w:rsid w:val="0009148D"/>
    <w:rsid w:val="0009367A"/>
    <w:rsid w:val="00094734"/>
    <w:rsid w:val="00094746"/>
    <w:rsid w:val="00094D9D"/>
    <w:rsid w:val="00095A8A"/>
    <w:rsid w:val="00097072"/>
    <w:rsid w:val="000979C8"/>
    <w:rsid w:val="000A059D"/>
    <w:rsid w:val="000A1495"/>
    <w:rsid w:val="000A16DE"/>
    <w:rsid w:val="000A1FC2"/>
    <w:rsid w:val="000A3E14"/>
    <w:rsid w:val="000A537C"/>
    <w:rsid w:val="000A61AD"/>
    <w:rsid w:val="000A7546"/>
    <w:rsid w:val="000B2FBE"/>
    <w:rsid w:val="000B4FE8"/>
    <w:rsid w:val="000B53AF"/>
    <w:rsid w:val="000B556C"/>
    <w:rsid w:val="000B6B46"/>
    <w:rsid w:val="000B6BD9"/>
    <w:rsid w:val="000B799B"/>
    <w:rsid w:val="000B7EF6"/>
    <w:rsid w:val="000C1343"/>
    <w:rsid w:val="000C4287"/>
    <w:rsid w:val="000C5E94"/>
    <w:rsid w:val="000C6484"/>
    <w:rsid w:val="000C7757"/>
    <w:rsid w:val="000C7F8E"/>
    <w:rsid w:val="000D0666"/>
    <w:rsid w:val="000D112B"/>
    <w:rsid w:val="000D14F0"/>
    <w:rsid w:val="000D2AE9"/>
    <w:rsid w:val="000D6B6A"/>
    <w:rsid w:val="000D6BA7"/>
    <w:rsid w:val="000D76FA"/>
    <w:rsid w:val="000D7E9B"/>
    <w:rsid w:val="000E09EB"/>
    <w:rsid w:val="000E184A"/>
    <w:rsid w:val="000E248E"/>
    <w:rsid w:val="000E3439"/>
    <w:rsid w:val="000E4A75"/>
    <w:rsid w:val="000E4D86"/>
    <w:rsid w:val="000E5E99"/>
    <w:rsid w:val="000E6567"/>
    <w:rsid w:val="000E6E48"/>
    <w:rsid w:val="000E7727"/>
    <w:rsid w:val="000E77F0"/>
    <w:rsid w:val="000E7C0C"/>
    <w:rsid w:val="000E7C8C"/>
    <w:rsid w:val="000F0A0E"/>
    <w:rsid w:val="000F1344"/>
    <w:rsid w:val="000F2E2A"/>
    <w:rsid w:val="000F5965"/>
    <w:rsid w:val="000F5BA2"/>
    <w:rsid w:val="000F6720"/>
    <w:rsid w:val="000F715C"/>
    <w:rsid w:val="000F76AC"/>
    <w:rsid w:val="001014FE"/>
    <w:rsid w:val="001015C4"/>
    <w:rsid w:val="00101FD1"/>
    <w:rsid w:val="00102110"/>
    <w:rsid w:val="00102740"/>
    <w:rsid w:val="00103196"/>
    <w:rsid w:val="001033CC"/>
    <w:rsid w:val="00104F5B"/>
    <w:rsid w:val="00105310"/>
    <w:rsid w:val="00105FBA"/>
    <w:rsid w:val="0010641F"/>
    <w:rsid w:val="00106D20"/>
    <w:rsid w:val="001071CC"/>
    <w:rsid w:val="00107606"/>
    <w:rsid w:val="001109B7"/>
    <w:rsid w:val="00110C93"/>
    <w:rsid w:val="0011154D"/>
    <w:rsid w:val="00111B0C"/>
    <w:rsid w:val="001134E3"/>
    <w:rsid w:val="0011437A"/>
    <w:rsid w:val="001159F8"/>
    <w:rsid w:val="001168C0"/>
    <w:rsid w:val="00116B29"/>
    <w:rsid w:val="00116CCB"/>
    <w:rsid w:val="00117DDC"/>
    <w:rsid w:val="00121517"/>
    <w:rsid w:val="00122A75"/>
    <w:rsid w:val="00125C93"/>
    <w:rsid w:val="00125E4D"/>
    <w:rsid w:val="00127DE7"/>
    <w:rsid w:val="00130773"/>
    <w:rsid w:val="001308FA"/>
    <w:rsid w:val="00131AD2"/>
    <w:rsid w:val="001334D7"/>
    <w:rsid w:val="00133C63"/>
    <w:rsid w:val="001348A9"/>
    <w:rsid w:val="001369BF"/>
    <w:rsid w:val="00136B6A"/>
    <w:rsid w:val="00136E79"/>
    <w:rsid w:val="001374BE"/>
    <w:rsid w:val="00140115"/>
    <w:rsid w:val="0014024E"/>
    <w:rsid w:val="0014080B"/>
    <w:rsid w:val="00140B8E"/>
    <w:rsid w:val="00141356"/>
    <w:rsid w:val="001416DC"/>
    <w:rsid w:val="00141E1D"/>
    <w:rsid w:val="00143250"/>
    <w:rsid w:val="001432B9"/>
    <w:rsid w:val="0014386D"/>
    <w:rsid w:val="00144339"/>
    <w:rsid w:val="0014588C"/>
    <w:rsid w:val="00145A1F"/>
    <w:rsid w:val="00146296"/>
    <w:rsid w:val="00146E98"/>
    <w:rsid w:val="00147D2F"/>
    <w:rsid w:val="00150415"/>
    <w:rsid w:val="001514A0"/>
    <w:rsid w:val="0015244D"/>
    <w:rsid w:val="00152906"/>
    <w:rsid w:val="001538A1"/>
    <w:rsid w:val="00153B48"/>
    <w:rsid w:val="00153E27"/>
    <w:rsid w:val="00154772"/>
    <w:rsid w:val="001552B2"/>
    <w:rsid w:val="00155863"/>
    <w:rsid w:val="00155884"/>
    <w:rsid w:val="00156406"/>
    <w:rsid w:val="001576BE"/>
    <w:rsid w:val="00157A9D"/>
    <w:rsid w:val="00157E6E"/>
    <w:rsid w:val="00161351"/>
    <w:rsid w:val="001631F9"/>
    <w:rsid w:val="00163483"/>
    <w:rsid w:val="001642E1"/>
    <w:rsid w:val="00164991"/>
    <w:rsid w:val="001654A6"/>
    <w:rsid w:val="00165B30"/>
    <w:rsid w:val="00166334"/>
    <w:rsid w:val="0016797B"/>
    <w:rsid w:val="00167A84"/>
    <w:rsid w:val="00170F87"/>
    <w:rsid w:val="00173ABD"/>
    <w:rsid w:val="00173D27"/>
    <w:rsid w:val="001757D5"/>
    <w:rsid w:val="001760D6"/>
    <w:rsid w:val="001779C4"/>
    <w:rsid w:val="00177BC5"/>
    <w:rsid w:val="00177E7A"/>
    <w:rsid w:val="00177F23"/>
    <w:rsid w:val="001805BE"/>
    <w:rsid w:val="0018065B"/>
    <w:rsid w:val="00181161"/>
    <w:rsid w:val="00182502"/>
    <w:rsid w:val="00182B4B"/>
    <w:rsid w:val="001834CD"/>
    <w:rsid w:val="00183B37"/>
    <w:rsid w:val="00185077"/>
    <w:rsid w:val="001850C5"/>
    <w:rsid w:val="00187E83"/>
    <w:rsid w:val="001907EF"/>
    <w:rsid w:val="001908C3"/>
    <w:rsid w:val="00190CA1"/>
    <w:rsid w:val="001937C5"/>
    <w:rsid w:val="00193D62"/>
    <w:rsid w:val="0019479F"/>
    <w:rsid w:val="001964F8"/>
    <w:rsid w:val="00197FC7"/>
    <w:rsid w:val="001A0BF3"/>
    <w:rsid w:val="001A21E5"/>
    <w:rsid w:val="001A3112"/>
    <w:rsid w:val="001A4F1F"/>
    <w:rsid w:val="001A52EA"/>
    <w:rsid w:val="001A534F"/>
    <w:rsid w:val="001A57BD"/>
    <w:rsid w:val="001A5D22"/>
    <w:rsid w:val="001A62A1"/>
    <w:rsid w:val="001A712D"/>
    <w:rsid w:val="001B1BC6"/>
    <w:rsid w:val="001B2251"/>
    <w:rsid w:val="001B3451"/>
    <w:rsid w:val="001B3BD8"/>
    <w:rsid w:val="001B3BF7"/>
    <w:rsid w:val="001B43E7"/>
    <w:rsid w:val="001B549A"/>
    <w:rsid w:val="001B578F"/>
    <w:rsid w:val="001B5DE3"/>
    <w:rsid w:val="001B6486"/>
    <w:rsid w:val="001B6757"/>
    <w:rsid w:val="001B7CDF"/>
    <w:rsid w:val="001C0118"/>
    <w:rsid w:val="001C1A43"/>
    <w:rsid w:val="001C2AFC"/>
    <w:rsid w:val="001C32DA"/>
    <w:rsid w:val="001C3911"/>
    <w:rsid w:val="001C3BCA"/>
    <w:rsid w:val="001C55DA"/>
    <w:rsid w:val="001C5719"/>
    <w:rsid w:val="001C5CA9"/>
    <w:rsid w:val="001C6D6C"/>
    <w:rsid w:val="001C708E"/>
    <w:rsid w:val="001C7215"/>
    <w:rsid w:val="001C7467"/>
    <w:rsid w:val="001D0387"/>
    <w:rsid w:val="001D0A25"/>
    <w:rsid w:val="001D1666"/>
    <w:rsid w:val="001D2818"/>
    <w:rsid w:val="001D2921"/>
    <w:rsid w:val="001D4DFC"/>
    <w:rsid w:val="001D502F"/>
    <w:rsid w:val="001D652B"/>
    <w:rsid w:val="001D66C4"/>
    <w:rsid w:val="001D6A22"/>
    <w:rsid w:val="001E06B4"/>
    <w:rsid w:val="001E0765"/>
    <w:rsid w:val="001E1812"/>
    <w:rsid w:val="001E3922"/>
    <w:rsid w:val="001E5583"/>
    <w:rsid w:val="001E63EB"/>
    <w:rsid w:val="001E725D"/>
    <w:rsid w:val="001F0286"/>
    <w:rsid w:val="001F11C0"/>
    <w:rsid w:val="001F26E6"/>
    <w:rsid w:val="001F2B86"/>
    <w:rsid w:val="001F3997"/>
    <w:rsid w:val="001F3B11"/>
    <w:rsid w:val="001F3B8F"/>
    <w:rsid w:val="001F422E"/>
    <w:rsid w:val="001F4366"/>
    <w:rsid w:val="001F4BF8"/>
    <w:rsid w:val="001F5DC1"/>
    <w:rsid w:val="001F6268"/>
    <w:rsid w:val="001F632F"/>
    <w:rsid w:val="001F6B64"/>
    <w:rsid w:val="001F6CAD"/>
    <w:rsid w:val="00200AE9"/>
    <w:rsid w:val="00201709"/>
    <w:rsid w:val="0020244A"/>
    <w:rsid w:val="00203477"/>
    <w:rsid w:val="00203780"/>
    <w:rsid w:val="00203C04"/>
    <w:rsid w:val="00203E2D"/>
    <w:rsid w:val="00204F61"/>
    <w:rsid w:val="00205A4E"/>
    <w:rsid w:val="00207097"/>
    <w:rsid w:val="00210795"/>
    <w:rsid w:val="00210BB7"/>
    <w:rsid w:val="002110F4"/>
    <w:rsid w:val="00214235"/>
    <w:rsid w:val="00214D45"/>
    <w:rsid w:val="00215843"/>
    <w:rsid w:val="002161AC"/>
    <w:rsid w:val="00216260"/>
    <w:rsid w:val="002168CB"/>
    <w:rsid w:val="00216B28"/>
    <w:rsid w:val="0021798F"/>
    <w:rsid w:val="00220802"/>
    <w:rsid w:val="00220AF0"/>
    <w:rsid w:val="00221348"/>
    <w:rsid w:val="00221B2D"/>
    <w:rsid w:val="00222B43"/>
    <w:rsid w:val="00222B61"/>
    <w:rsid w:val="002231A6"/>
    <w:rsid w:val="00223244"/>
    <w:rsid w:val="00223265"/>
    <w:rsid w:val="0022354A"/>
    <w:rsid w:val="002241C8"/>
    <w:rsid w:val="002258D4"/>
    <w:rsid w:val="00225999"/>
    <w:rsid w:val="00226AF9"/>
    <w:rsid w:val="0022701D"/>
    <w:rsid w:val="00227FAF"/>
    <w:rsid w:val="00230602"/>
    <w:rsid w:val="00230F69"/>
    <w:rsid w:val="00233E19"/>
    <w:rsid w:val="002341EF"/>
    <w:rsid w:val="0023467B"/>
    <w:rsid w:val="00234844"/>
    <w:rsid w:val="00234DC0"/>
    <w:rsid w:val="0023541F"/>
    <w:rsid w:val="00236735"/>
    <w:rsid w:val="002369E1"/>
    <w:rsid w:val="00240EED"/>
    <w:rsid w:val="00241B3C"/>
    <w:rsid w:val="002428EE"/>
    <w:rsid w:val="002429A2"/>
    <w:rsid w:val="002429DD"/>
    <w:rsid w:val="00242BF4"/>
    <w:rsid w:val="00244663"/>
    <w:rsid w:val="0024488C"/>
    <w:rsid w:val="00246AA7"/>
    <w:rsid w:val="00247042"/>
    <w:rsid w:val="00247901"/>
    <w:rsid w:val="0025023A"/>
    <w:rsid w:val="00250713"/>
    <w:rsid w:val="00250CAF"/>
    <w:rsid w:val="002517B1"/>
    <w:rsid w:val="00251D50"/>
    <w:rsid w:val="00252704"/>
    <w:rsid w:val="002538EC"/>
    <w:rsid w:val="0025429B"/>
    <w:rsid w:val="00254B1A"/>
    <w:rsid w:val="00255A0A"/>
    <w:rsid w:val="002561B6"/>
    <w:rsid w:val="00256830"/>
    <w:rsid w:val="002572AE"/>
    <w:rsid w:val="002579C7"/>
    <w:rsid w:val="00261F6D"/>
    <w:rsid w:val="0026249C"/>
    <w:rsid w:val="00263890"/>
    <w:rsid w:val="0026389C"/>
    <w:rsid w:val="00263A6C"/>
    <w:rsid w:val="00264116"/>
    <w:rsid w:val="002649A7"/>
    <w:rsid w:val="002669C9"/>
    <w:rsid w:val="00267D83"/>
    <w:rsid w:val="0027031D"/>
    <w:rsid w:val="00270A50"/>
    <w:rsid w:val="00270CEB"/>
    <w:rsid w:val="00271CB4"/>
    <w:rsid w:val="002726E6"/>
    <w:rsid w:val="002729D0"/>
    <w:rsid w:val="00272B53"/>
    <w:rsid w:val="0027496D"/>
    <w:rsid w:val="00275366"/>
    <w:rsid w:val="00276633"/>
    <w:rsid w:val="00277B0F"/>
    <w:rsid w:val="00280A38"/>
    <w:rsid w:val="002810F0"/>
    <w:rsid w:val="002818A0"/>
    <w:rsid w:val="002820FE"/>
    <w:rsid w:val="00282CAA"/>
    <w:rsid w:val="00283D03"/>
    <w:rsid w:val="00284292"/>
    <w:rsid w:val="0028483E"/>
    <w:rsid w:val="00286140"/>
    <w:rsid w:val="0028620C"/>
    <w:rsid w:val="00286977"/>
    <w:rsid w:val="00286A3C"/>
    <w:rsid w:val="002879A5"/>
    <w:rsid w:val="0029032E"/>
    <w:rsid w:val="002904E9"/>
    <w:rsid w:val="00290FC3"/>
    <w:rsid w:val="002914D9"/>
    <w:rsid w:val="00291F05"/>
    <w:rsid w:val="002929B8"/>
    <w:rsid w:val="00292CF7"/>
    <w:rsid w:val="00292D33"/>
    <w:rsid w:val="00293AF3"/>
    <w:rsid w:val="00293D95"/>
    <w:rsid w:val="00294164"/>
    <w:rsid w:val="00294856"/>
    <w:rsid w:val="00295107"/>
    <w:rsid w:val="00295F59"/>
    <w:rsid w:val="00296499"/>
    <w:rsid w:val="002975D7"/>
    <w:rsid w:val="002A05AC"/>
    <w:rsid w:val="002A07A1"/>
    <w:rsid w:val="002A5263"/>
    <w:rsid w:val="002A6072"/>
    <w:rsid w:val="002A6434"/>
    <w:rsid w:val="002A6A2A"/>
    <w:rsid w:val="002A6E81"/>
    <w:rsid w:val="002A6FF3"/>
    <w:rsid w:val="002A739D"/>
    <w:rsid w:val="002A7A1F"/>
    <w:rsid w:val="002B01D2"/>
    <w:rsid w:val="002B1FCF"/>
    <w:rsid w:val="002B22AC"/>
    <w:rsid w:val="002B3C60"/>
    <w:rsid w:val="002B3C78"/>
    <w:rsid w:val="002B60E2"/>
    <w:rsid w:val="002B6297"/>
    <w:rsid w:val="002B7801"/>
    <w:rsid w:val="002C0389"/>
    <w:rsid w:val="002C19E1"/>
    <w:rsid w:val="002C20BA"/>
    <w:rsid w:val="002C2AC8"/>
    <w:rsid w:val="002C2D1D"/>
    <w:rsid w:val="002C4A27"/>
    <w:rsid w:val="002C4AAE"/>
    <w:rsid w:val="002C5373"/>
    <w:rsid w:val="002C5840"/>
    <w:rsid w:val="002D0201"/>
    <w:rsid w:val="002D0B42"/>
    <w:rsid w:val="002D15F8"/>
    <w:rsid w:val="002D17FA"/>
    <w:rsid w:val="002D1C39"/>
    <w:rsid w:val="002D1DE9"/>
    <w:rsid w:val="002D218E"/>
    <w:rsid w:val="002D33D4"/>
    <w:rsid w:val="002D35FC"/>
    <w:rsid w:val="002D3780"/>
    <w:rsid w:val="002D63C8"/>
    <w:rsid w:val="002D6707"/>
    <w:rsid w:val="002D74FA"/>
    <w:rsid w:val="002E02DD"/>
    <w:rsid w:val="002E0FC5"/>
    <w:rsid w:val="002E202B"/>
    <w:rsid w:val="002E244D"/>
    <w:rsid w:val="002E25C1"/>
    <w:rsid w:val="002E2624"/>
    <w:rsid w:val="002E2B9D"/>
    <w:rsid w:val="002E438A"/>
    <w:rsid w:val="002E6C82"/>
    <w:rsid w:val="002E6E4E"/>
    <w:rsid w:val="002E721D"/>
    <w:rsid w:val="002E7334"/>
    <w:rsid w:val="002F0E83"/>
    <w:rsid w:val="002F1F3A"/>
    <w:rsid w:val="002F2180"/>
    <w:rsid w:val="002F3D36"/>
    <w:rsid w:val="002F3F58"/>
    <w:rsid w:val="002F66DA"/>
    <w:rsid w:val="00300242"/>
    <w:rsid w:val="00300E61"/>
    <w:rsid w:val="00300EB2"/>
    <w:rsid w:val="00300EFB"/>
    <w:rsid w:val="003046A9"/>
    <w:rsid w:val="00304707"/>
    <w:rsid w:val="003055B5"/>
    <w:rsid w:val="00305C5B"/>
    <w:rsid w:val="00306E2E"/>
    <w:rsid w:val="00307FCB"/>
    <w:rsid w:val="003100EA"/>
    <w:rsid w:val="00310AF7"/>
    <w:rsid w:val="00310BCA"/>
    <w:rsid w:val="00310D30"/>
    <w:rsid w:val="0031118D"/>
    <w:rsid w:val="00311FAF"/>
    <w:rsid w:val="00312504"/>
    <w:rsid w:val="0031267C"/>
    <w:rsid w:val="00312899"/>
    <w:rsid w:val="00312DD0"/>
    <w:rsid w:val="003155F9"/>
    <w:rsid w:val="0031738A"/>
    <w:rsid w:val="00320821"/>
    <w:rsid w:val="00320B87"/>
    <w:rsid w:val="00322855"/>
    <w:rsid w:val="00323082"/>
    <w:rsid w:val="00323749"/>
    <w:rsid w:val="0032409E"/>
    <w:rsid w:val="003249CD"/>
    <w:rsid w:val="00325655"/>
    <w:rsid w:val="0032582D"/>
    <w:rsid w:val="003267C9"/>
    <w:rsid w:val="00326D8B"/>
    <w:rsid w:val="0032762A"/>
    <w:rsid w:val="00327728"/>
    <w:rsid w:val="00327BCF"/>
    <w:rsid w:val="00331820"/>
    <w:rsid w:val="00331A95"/>
    <w:rsid w:val="00331AD9"/>
    <w:rsid w:val="003336AB"/>
    <w:rsid w:val="003351AB"/>
    <w:rsid w:val="00335AD4"/>
    <w:rsid w:val="003378FB"/>
    <w:rsid w:val="00337CD6"/>
    <w:rsid w:val="003419C7"/>
    <w:rsid w:val="003423B2"/>
    <w:rsid w:val="003424CB"/>
    <w:rsid w:val="003432F1"/>
    <w:rsid w:val="003449E1"/>
    <w:rsid w:val="003459DD"/>
    <w:rsid w:val="00346464"/>
    <w:rsid w:val="00346BB2"/>
    <w:rsid w:val="0034716C"/>
    <w:rsid w:val="00350E10"/>
    <w:rsid w:val="00353DDC"/>
    <w:rsid w:val="00356B75"/>
    <w:rsid w:val="0035785A"/>
    <w:rsid w:val="00357C3C"/>
    <w:rsid w:val="00357DD1"/>
    <w:rsid w:val="003602EA"/>
    <w:rsid w:val="00360D99"/>
    <w:rsid w:val="00361E3B"/>
    <w:rsid w:val="00362E03"/>
    <w:rsid w:val="003631B8"/>
    <w:rsid w:val="00363ADF"/>
    <w:rsid w:val="00364083"/>
    <w:rsid w:val="00364449"/>
    <w:rsid w:val="00366B17"/>
    <w:rsid w:val="00366E53"/>
    <w:rsid w:val="003678DF"/>
    <w:rsid w:val="003701E1"/>
    <w:rsid w:val="003704B9"/>
    <w:rsid w:val="00371158"/>
    <w:rsid w:val="00371E51"/>
    <w:rsid w:val="003734DB"/>
    <w:rsid w:val="00374E85"/>
    <w:rsid w:val="00375D92"/>
    <w:rsid w:val="00375FC6"/>
    <w:rsid w:val="00376EAA"/>
    <w:rsid w:val="00377512"/>
    <w:rsid w:val="003801F3"/>
    <w:rsid w:val="003815F6"/>
    <w:rsid w:val="00381676"/>
    <w:rsid w:val="003818A3"/>
    <w:rsid w:val="00381F8E"/>
    <w:rsid w:val="00382BCD"/>
    <w:rsid w:val="00382D5B"/>
    <w:rsid w:val="003832FD"/>
    <w:rsid w:val="003845D6"/>
    <w:rsid w:val="00384708"/>
    <w:rsid w:val="0038590C"/>
    <w:rsid w:val="00385A88"/>
    <w:rsid w:val="00386D2B"/>
    <w:rsid w:val="00390163"/>
    <w:rsid w:val="00390D16"/>
    <w:rsid w:val="0039353C"/>
    <w:rsid w:val="00393C09"/>
    <w:rsid w:val="0039504E"/>
    <w:rsid w:val="0039544E"/>
    <w:rsid w:val="00396CC9"/>
    <w:rsid w:val="0039776F"/>
    <w:rsid w:val="00397CB5"/>
    <w:rsid w:val="003A032A"/>
    <w:rsid w:val="003A23E3"/>
    <w:rsid w:val="003A2A7A"/>
    <w:rsid w:val="003A41CF"/>
    <w:rsid w:val="003A596C"/>
    <w:rsid w:val="003A5D07"/>
    <w:rsid w:val="003A6F8A"/>
    <w:rsid w:val="003A7283"/>
    <w:rsid w:val="003A78F1"/>
    <w:rsid w:val="003A7A53"/>
    <w:rsid w:val="003A7C0B"/>
    <w:rsid w:val="003B0436"/>
    <w:rsid w:val="003B09B4"/>
    <w:rsid w:val="003B464C"/>
    <w:rsid w:val="003B5B6E"/>
    <w:rsid w:val="003B6E6A"/>
    <w:rsid w:val="003C153F"/>
    <w:rsid w:val="003C175B"/>
    <w:rsid w:val="003C333F"/>
    <w:rsid w:val="003C3B25"/>
    <w:rsid w:val="003C5D0F"/>
    <w:rsid w:val="003C6602"/>
    <w:rsid w:val="003C7DD9"/>
    <w:rsid w:val="003D03DE"/>
    <w:rsid w:val="003D14AE"/>
    <w:rsid w:val="003D3F26"/>
    <w:rsid w:val="003D442A"/>
    <w:rsid w:val="003D4AF6"/>
    <w:rsid w:val="003D4E48"/>
    <w:rsid w:val="003D4FF3"/>
    <w:rsid w:val="003D5F8E"/>
    <w:rsid w:val="003D65ED"/>
    <w:rsid w:val="003D6779"/>
    <w:rsid w:val="003D67EA"/>
    <w:rsid w:val="003D6C4F"/>
    <w:rsid w:val="003D729F"/>
    <w:rsid w:val="003E020E"/>
    <w:rsid w:val="003E0BAD"/>
    <w:rsid w:val="003E0C8F"/>
    <w:rsid w:val="003E0EB5"/>
    <w:rsid w:val="003E17E3"/>
    <w:rsid w:val="003E210D"/>
    <w:rsid w:val="003E22B4"/>
    <w:rsid w:val="003E2CA0"/>
    <w:rsid w:val="003E3944"/>
    <w:rsid w:val="003E3EFD"/>
    <w:rsid w:val="003E4FF5"/>
    <w:rsid w:val="003E66C1"/>
    <w:rsid w:val="003E6F46"/>
    <w:rsid w:val="003E6F61"/>
    <w:rsid w:val="003F001D"/>
    <w:rsid w:val="003F07C4"/>
    <w:rsid w:val="003F09AF"/>
    <w:rsid w:val="003F0AF2"/>
    <w:rsid w:val="003F0DE0"/>
    <w:rsid w:val="003F224D"/>
    <w:rsid w:val="003F2F8C"/>
    <w:rsid w:val="003F3E46"/>
    <w:rsid w:val="003F4A84"/>
    <w:rsid w:val="003F60AD"/>
    <w:rsid w:val="003F6AC4"/>
    <w:rsid w:val="003F7F5B"/>
    <w:rsid w:val="0040177B"/>
    <w:rsid w:val="004029CF"/>
    <w:rsid w:val="004038FC"/>
    <w:rsid w:val="0040467B"/>
    <w:rsid w:val="00404B23"/>
    <w:rsid w:val="00404E3B"/>
    <w:rsid w:val="00406222"/>
    <w:rsid w:val="00406A74"/>
    <w:rsid w:val="00413015"/>
    <w:rsid w:val="00414861"/>
    <w:rsid w:val="004157B9"/>
    <w:rsid w:val="00415906"/>
    <w:rsid w:val="00415E3B"/>
    <w:rsid w:val="00416D4F"/>
    <w:rsid w:val="00417223"/>
    <w:rsid w:val="004211FF"/>
    <w:rsid w:val="0042138C"/>
    <w:rsid w:val="004213A8"/>
    <w:rsid w:val="00421934"/>
    <w:rsid w:val="00422140"/>
    <w:rsid w:val="004225BD"/>
    <w:rsid w:val="004240B4"/>
    <w:rsid w:val="00424D72"/>
    <w:rsid w:val="004253C8"/>
    <w:rsid w:val="00425C7F"/>
    <w:rsid w:val="00427C43"/>
    <w:rsid w:val="00431989"/>
    <w:rsid w:val="004322F5"/>
    <w:rsid w:val="00432D88"/>
    <w:rsid w:val="00433202"/>
    <w:rsid w:val="00433D41"/>
    <w:rsid w:val="004349DA"/>
    <w:rsid w:val="00435187"/>
    <w:rsid w:val="004358FD"/>
    <w:rsid w:val="00435A23"/>
    <w:rsid w:val="00436DE6"/>
    <w:rsid w:val="00436FBA"/>
    <w:rsid w:val="004406CE"/>
    <w:rsid w:val="00441AAE"/>
    <w:rsid w:val="00441B20"/>
    <w:rsid w:val="00441FE2"/>
    <w:rsid w:val="004422EF"/>
    <w:rsid w:val="00442A6A"/>
    <w:rsid w:val="004434DC"/>
    <w:rsid w:val="00443824"/>
    <w:rsid w:val="00443F70"/>
    <w:rsid w:val="00446438"/>
    <w:rsid w:val="00446C35"/>
    <w:rsid w:val="00447180"/>
    <w:rsid w:val="00450CEA"/>
    <w:rsid w:val="00451959"/>
    <w:rsid w:val="004519C7"/>
    <w:rsid w:val="00451B79"/>
    <w:rsid w:val="00455CAB"/>
    <w:rsid w:val="00456F8D"/>
    <w:rsid w:val="00460EDE"/>
    <w:rsid w:val="00461014"/>
    <w:rsid w:val="0046317C"/>
    <w:rsid w:val="004631E9"/>
    <w:rsid w:val="004633C7"/>
    <w:rsid w:val="00463E5B"/>
    <w:rsid w:val="00466516"/>
    <w:rsid w:val="004668E3"/>
    <w:rsid w:val="0046694F"/>
    <w:rsid w:val="00466AFC"/>
    <w:rsid w:val="00466EC4"/>
    <w:rsid w:val="0046755E"/>
    <w:rsid w:val="00467561"/>
    <w:rsid w:val="00467B07"/>
    <w:rsid w:val="00467CA4"/>
    <w:rsid w:val="004700AE"/>
    <w:rsid w:val="00472043"/>
    <w:rsid w:val="0047253D"/>
    <w:rsid w:val="0047254C"/>
    <w:rsid w:val="00472A97"/>
    <w:rsid w:val="0047450C"/>
    <w:rsid w:val="004757BD"/>
    <w:rsid w:val="00475CF4"/>
    <w:rsid w:val="00476C50"/>
    <w:rsid w:val="00476FA4"/>
    <w:rsid w:val="004776D6"/>
    <w:rsid w:val="00480A43"/>
    <w:rsid w:val="004812E3"/>
    <w:rsid w:val="004828B7"/>
    <w:rsid w:val="00483AD1"/>
    <w:rsid w:val="00483E4A"/>
    <w:rsid w:val="004850BF"/>
    <w:rsid w:val="00485315"/>
    <w:rsid w:val="00485DC4"/>
    <w:rsid w:val="00486F87"/>
    <w:rsid w:val="00491A98"/>
    <w:rsid w:val="00491A9F"/>
    <w:rsid w:val="00491BCF"/>
    <w:rsid w:val="00492294"/>
    <w:rsid w:val="00492505"/>
    <w:rsid w:val="00493AE0"/>
    <w:rsid w:val="00493F30"/>
    <w:rsid w:val="0049442B"/>
    <w:rsid w:val="0049500F"/>
    <w:rsid w:val="00496069"/>
    <w:rsid w:val="00496DCA"/>
    <w:rsid w:val="00497FB8"/>
    <w:rsid w:val="004A0468"/>
    <w:rsid w:val="004A14F8"/>
    <w:rsid w:val="004A2825"/>
    <w:rsid w:val="004A29EE"/>
    <w:rsid w:val="004A2BEA"/>
    <w:rsid w:val="004A4478"/>
    <w:rsid w:val="004A4AD6"/>
    <w:rsid w:val="004A5F0F"/>
    <w:rsid w:val="004A6A7B"/>
    <w:rsid w:val="004A6EBB"/>
    <w:rsid w:val="004B1920"/>
    <w:rsid w:val="004B1DE3"/>
    <w:rsid w:val="004B253A"/>
    <w:rsid w:val="004B297B"/>
    <w:rsid w:val="004B409C"/>
    <w:rsid w:val="004B68CB"/>
    <w:rsid w:val="004C3AFF"/>
    <w:rsid w:val="004C3F74"/>
    <w:rsid w:val="004C4A2C"/>
    <w:rsid w:val="004C5374"/>
    <w:rsid w:val="004C5BC8"/>
    <w:rsid w:val="004C5F1F"/>
    <w:rsid w:val="004C70FA"/>
    <w:rsid w:val="004C714A"/>
    <w:rsid w:val="004C7D03"/>
    <w:rsid w:val="004D0510"/>
    <w:rsid w:val="004D0B77"/>
    <w:rsid w:val="004D0E86"/>
    <w:rsid w:val="004D114E"/>
    <w:rsid w:val="004D1989"/>
    <w:rsid w:val="004D1E7C"/>
    <w:rsid w:val="004D3DAB"/>
    <w:rsid w:val="004D42F3"/>
    <w:rsid w:val="004D5453"/>
    <w:rsid w:val="004E01DD"/>
    <w:rsid w:val="004E0337"/>
    <w:rsid w:val="004E1A35"/>
    <w:rsid w:val="004E1BB5"/>
    <w:rsid w:val="004E1DF6"/>
    <w:rsid w:val="004E27A2"/>
    <w:rsid w:val="004E3159"/>
    <w:rsid w:val="004E3E32"/>
    <w:rsid w:val="004E5D56"/>
    <w:rsid w:val="004E7252"/>
    <w:rsid w:val="004E760C"/>
    <w:rsid w:val="004F0022"/>
    <w:rsid w:val="004F05FC"/>
    <w:rsid w:val="004F17F3"/>
    <w:rsid w:val="004F2337"/>
    <w:rsid w:val="004F277F"/>
    <w:rsid w:val="004F3C04"/>
    <w:rsid w:val="004F5585"/>
    <w:rsid w:val="004F5597"/>
    <w:rsid w:val="004F567D"/>
    <w:rsid w:val="004F6A11"/>
    <w:rsid w:val="004F7FEF"/>
    <w:rsid w:val="005008AF"/>
    <w:rsid w:val="005019FE"/>
    <w:rsid w:val="005024C5"/>
    <w:rsid w:val="00502E80"/>
    <w:rsid w:val="005110F7"/>
    <w:rsid w:val="0051156C"/>
    <w:rsid w:val="00511977"/>
    <w:rsid w:val="00511ABF"/>
    <w:rsid w:val="00511C45"/>
    <w:rsid w:val="00512174"/>
    <w:rsid w:val="00512BC9"/>
    <w:rsid w:val="0051365C"/>
    <w:rsid w:val="00513840"/>
    <w:rsid w:val="00514DF7"/>
    <w:rsid w:val="0051619B"/>
    <w:rsid w:val="00516376"/>
    <w:rsid w:val="00517310"/>
    <w:rsid w:val="0051747F"/>
    <w:rsid w:val="00517524"/>
    <w:rsid w:val="005200AB"/>
    <w:rsid w:val="0052165E"/>
    <w:rsid w:val="00521FD9"/>
    <w:rsid w:val="005251E4"/>
    <w:rsid w:val="00525502"/>
    <w:rsid w:val="005259C0"/>
    <w:rsid w:val="00525E2D"/>
    <w:rsid w:val="005266FB"/>
    <w:rsid w:val="0052756E"/>
    <w:rsid w:val="00530D5F"/>
    <w:rsid w:val="0053146C"/>
    <w:rsid w:val="005314A6"/>
    <w:rsid w:val="005329C3"/>
    <w:rsid w:val="00535272"/>
    <w:rsid w:val="005357B5"/>
    <w:rsid w:val="00535847"/>
    <w:rsid w:val="00536498"/>
    <w:rsid w:val="00536AF0"/>
    <w:rsid w:val="00541CE3"/>
    <w:rsid w:val="00542063"/>
    <w:rsid w:val="00542E8B"/>
    <w:rsid w:val="005439AE"/>
    <w:rsid w:val="00544E7E"/>
    <w:rsid w:val="00546691"/>
    <w:rsid w:val="00546FBD"/>
    <w:rsid w:val="005504AB"/>
    <w:rsid w:val="0055084A"/>
    <w:rsid w:val="00550945"/>
    <w:rsid w:val="00550D7A"/>
    <w:rsid w:val="0055111D"/>
    <w:rsid w:val="00551DFA"/>
    <w:rsid w:val="00551E02"/>
    <w:rsid w:val="00552E21"/>
    <w:rsid w:val="00553223"/>
    <w:rsid w:val="00554E1D"/>
    <w:rsid w:val="00555B13"/>
    <w:rsid w:val="00555BA2"/>
    <w:rsid w:val="0056035D"/>
    <w:rsid w:val="00560C76"/>
    <w:rsid w:val="0056161E"/>
    <w:rsid w:val="005627A7"/>
    <w:rsid w:val="0056293C"/>
    <w:rsid w:val="00562968"/>
    <w:rsid w:val="00563581"/>
    <w:rsid w:val="00563D1E"/>
    <w:rsid w:val="00564236"/>
    <w:rsid w:val="00564EAA"/>
    <w:rsid w:val="00564F98"/>
    <w:rsid w:val="005651C4"/>
    <w:rsid w:val="0056527E"/>
    <w:rsid w:val="00566F02"/>
    <w:rsid w:val="00571086"/>
    <w:rsid w:val="00572958"/>
    <w:rsid w:val="00572B2E"/>
    <w:rsid w:val="00572CBE"/>
    <w:rsid w:val="00573517"/>
    <w:rsid w:val="005738A7"/>
    <w:rsid w:val="00575BFB"/>
    <w:rsid w:val="00575DB8"/>
    <w:rsid w:val="0057714B"/>
    <w:rsid w:val="0058105B"/>
    <w:rsid w:val="005814D3"/>
    <w:rsid w:val="00581845"/>
    <w:rsid w:val="00581878"/>
    <w:rsid w:val="005818B0"/>
    <w:rsid w:val="00581994"/>
    <w:rsid w:val="00581A33"/>
    <w:rsid w:val="00582FC3"/>
    <w:rsid w:val="00583340"/>
    <w:rsid w:val="00583AE8"/>
    <w:rsid w:val="00583B1C"/>
    <w:rsid w:val="00585721"/>
    <w:rsid w:val="005858C4"/>
    <w:rsid w:val="00585A51"/>
    <w:rsid w:val="00585D04"/>
    <w:rsid w:val="005863BA"/>
    <w:rsid w:val="005865B2"/>
    <w:rsid w:val="00590620"/>
    <w:rsid w:val="00590FD2"/>
    <w:rsid w:val="005912AF"/>
    <w:rsid w:val="0059240F"/>
    <w:rsid w:val="00592BD2"/>
    <w:rsid w:val="005937D7"/>
    <w:rsid w:val="00593A06"/>
    <w:rsid w:val="00596A0C"/>
    <w:rsid w:val="00597294"/>
    <w:rsid w:val="005977D4"/>
    <w:rsid w:val="005A03CA"/>
    <w:rsid w:val="005A0999"/>
    <w:rsid w:val="005A14DB"/>
    <w:rsid w:val="005A177E"/>
    <w:rsid w:val="005A18B0"/>
    <w:rsid w:val="005A243D"/>
    <w:rsid w:val="005A26A0"/>
    <w:rsid w:val="005A2E15"/>
    <w:rsid w:val="005A2ECC"/>
    <w:rsid w:val="005A302F"/>
    <w:rsid w:val="005A4BAF"/>
    <w:rsid w:val="005A5135"/>
    <w:rsid w:val="005A5168"/>
    <w:rsid w:val="005A7674"/>
    <w:rsid w:val="005A7D80"/>
    <w:rsid w:val="005B0BD1"/>
    <w:rsid w:val="005B13E6"/>
    <w:rsid w:val="005B147F"/>
    <w:rsid w:val="005B2043"/>
    <w:rsid w:val="005B2509"/>
    <w:rsid w:val="005B2559"/>
    <w:rsid w:val="005B3ACC"/>
    <w:rsid w:val="005B4147"/>
    <w:rsid w:val="005B4D96"/>
    <w:rsid w:val="005B7112"/>
    <w:rsid w:val="005B78C2"/>
    <w:rsid w:val="005B7E5E"/>
    <w:rsid w:val="005C01CE"/>
    <w:rsid w:val="005C1127"/>
    <w:rsid w:val="005C460B"/>
    <w:rsid w:val="005C68BD"/>
    <w:rsid w:val="005C6DDD"/>
    <w:rsid w:val="005C72ED"/>
    <w:rsid w:val="005D008D"/>
    <w:rsid w:val="005D103A"/>
    <w:rsid w:val="005D427C"/>
    <w:rsid w:val="005D5CA4"/>
    <w:rsid w:val="005D5DA0"/>
    <w:rsid w:val="005D70E5"/>
    <w:rsid w:val="005D7D6F"/>
    <w:rsid w:val="005E08F3"/>
    <w:rsid w:val="005E0B29"/>
    <w:rsid w:val="005E1ED7"/>
    <w:rsid w:val="005E203B"/>
    <w:rsid w:val="005E5036"/>
    <w:rsid w:val="005E6601"/>
    <w:rsid w:val="005E6F59"/>
    <w:rsid w:val="005E711A"/>
    <w:rsid w:val="005F0197"/>
    <w:rsid w:val="005F0DA0"/>
    <w:rsid w:val="005F0EA6"/>
    <w:rsid w:val="005F4D8F"/>
    <w:rsid w:val="005F5669"/>
    <w:rsid w:val="005F594E"/>
    <w:rsid w:val="005F59ED"/>
    <w:rsid w:val="005F7A8C"/>
    <w:rsid w:val="00601192"/>
    <w:rsid w:val="00601FD2"/>
    <w:rsid w:val="00602778"/>
    <w:rsid w:val="00603DDE"/>
    <w:rsid w:val="006043EB"/>
    <w:rsid w:val="00604934"/>
    <w:rsid w:val="00605D1D"/>
    <w:rsid w:val="00606D5C"/>
    <w:rsid w:val="00606D91"/>
    <w:rsid w:val="00612F5F"/>
    <w:rsid w:val="00613A6B"/>
    <w:rsid w:val="00613C2C"/>
    <w:rsid w:val="00615D87"/>
    <w:rsid w:val="00615EBF"/>
    <w:rsid w:val="00616B10"/>
    <w:rsid w:val="00616D74"/>
    <w:rsid w:val="0061705B"/>
    <w:rsid w:val="0061726A"/>
    <w:rsid w:val="006179D2"/>
    <w:rsid w:val="00620A86"/>
    <w:rsid w:val="006234D7"/>
    <w:rsid w:val="006235F8"/>
    <w:rsid w:val="00623D5D"/>
    <w:rsid w:val="00624102"/>
    <w:rsid w:val="00624151"/>
    <w:rsid w:val="0062465F"/>
    <w:rsid w:val="00625633"/>
    <w:rsid w:val="0062686C"/>
    <w:rsid w:val="0062776C"/>
    <w:rsid w:val="00627897"/>
    <w:rsid w:val="00631449"/>
    <w:rsid w:val="00632DF0"/>
    <w:rsid w:val="00634839"/>
    <w:rsid w:val="00636716"/>
    <w:rsid w:val="0063715B"/>
    <w:rsid w:val="0064049D"/>
    <w:rsid w:val="00640514"/>
    <w:rsid w:val="00640FD8"/>
    <w:rsid w:val="00641E07"/>
    <w:rsid w:val="006432BA"/>
    <w:rsid w:val="00643391"/>
    <w:rsid w:val="006443ED"/>
    <w:rsid w:val="006461E0"/>
    <w:rsid w:val="006466CE"/>
    <w:rsid w:val="006474B3"/>
    <w:rsid w:val="0065078C"/>
    <w:rsid w:val="00651FF8"/>
    <w:rsid w:val="00652C29"/>
    <w:rsid w:val="00653300"/>
    <w:rsid w:val="0065428B"/>
    <w:rsid w:val="0065469C"/>
    <w:rsid w:val="006553AF"/>
    <w:rsid w:val="00655B1A"/>
    <w:rsid w:val="00661FC0"/>
    <w:rsid w:val="006646F1"/>
    <w:rsid w:val="00664B54"/>
    <w:rsid w:val="00664E7E"/>
    <w:rsid w:val="00666C5E"/>
    <w:rsid w:val="00667A8C"/>
    <w:rsid w:val="00670350"/>
    <w:rsid w:val="00670A1A"/>
    <w:rsid w:val="00670DA3"/>
    <w:rsid w:val="00670DCA"/>
    <w:rsid w:val="00671D8F"/>
    <w:rsid w:val="00671F04"/>
    <w:rsid w:val="006724C8"/>
    <w:rsid w:val="00672508"/>
    <w:rsid w:val="00673414"/>
    <w:rsid w:val="00673DC1"/>
    <w:rsid w:val="00675307"/>
    <w:rsid w:val="00676010"/>
    <w:rsid w:val="00676EEA"/>
    <w:rsid w:val="0068013F"/>
    <w:rsid w:val="00680F5F"/>
    <w:rsid w:val="00681586"/>
    <w:rsid w:val="0068164D"/>
    <w:rsid w:val="00681F77"/>
    <w:rsid w:val="006830D6"/>
    <w:rsid w:val="006832F6"/>
    <w:rsid w:val="00683CE0"/>
    <w:rsid w:val="0068409A"/>
    <w:rsid w:val="006848D7"/>
    <w:rsid w:val="00685218"/>
    <w:rsid w:val="00685936"/>
    <w:rsid w:val="0068631C"/>
    <w:rsid w:val="0068747C"/>
    <w:rsid w:val="00691AA4"/>
    <w:rsid w:val="0069238D"/>
    <w:rsid w:val="00692A4D"/>
    <w:rsid w:val="00692DC7"/>
    <w:rsid w:val="006930DD"/>
    <w:rsid w:val="00693C9C"/>
    <w:rsid w:val="00695023"/>
    <w:rsid w:val="006950A4"/>
    <w:rsid w:val="00695278"/>
    <w:rsid w:val="0069695A"/>
    <w:rsid w:val="006972EA"/>
    <w:rsid w:val="00697CB4"/>
    <w:rsid w:val="006A03CF"/>
    <w:rsid w:val="006A10FB"/>
    <w:rsid w:val="006A16D2"/>
    <w:rsid w:val="006A1784"/>
    <w:rsid w:val="006A2756"/>
    <w:rsid w:val="006A3C8D"/>
    <w:rsid w:val="006A4858"/>
    <w:rsid w:val="006A5124"/>
    <w:rsid w:val="006A5699"/>
    <w:rsid w:val="006A6BE2"/>
    <w:rsid w:val="006A707E"/>
    <w:rsid w:val="006A7313"/>
    <w:rsid w:val="006A7967"/>
    <w:rsid w:val="006B3FFB"/>
    <w:rsid w:val="006B4431"/>
    <w:rsid w:val="006B56E9"/>
    <w:rsid w:val="006B5AFB"/>
    <w:rsid w:val="006B7516"/>
    <w:rsid w:val="006C03FD"/>
    <w:rsid w:val="006C1576"/>
    <w:rsid w:val="006C15EF"/>
    <w:rsid w:val="006C209B"/>
    <w:rsid w:val="006C24A7"/>
    <w:rsid w:val="006C2806"/>
    <w:rsid w:val="006C2BEE"/>
    <w:rsid w:val="006C466F"/>
    <w:rsid w:val="006C4A00"/>
    <w:rsid w:val="006C560B"/>
    <w:rsid w:val="006C6578"/>
    <w:rsid w:val="006C6F8D"/>
    <w:rsid w:val="006D0EEC"/>
    <w:rsid w:val="006D144B"/>
    <w:rsid w:val="006D304A"/>
    <w:rsid w:val="006D3538"/>
    <w:rsid w:val="006D3AC7"/>
    <w:rsid w:val="006D3C1F"/>
    <w:rsid w:val="006D4165"/>
    <w:rsid w:val="006D47F2"/>
    <w:rsid w:val="006D4930"/>
    <w:rsid w:val="006D57C6"/>
    <w:rsid w:val="006D747E"/>
    <w:rsid w:val="006E228A"/>
    <w:rsid w:val="006E4A33"/>
    <w:rsid w:val="006E6539"/>
    <w:rsid w:val="006F1589"/>
    <w:rsid w:val="006F1750"/>
    <w:rsid w:val="006F22FE"/>
    <w:rsid w:val="006F3468"/>
    <w:rsid w:val="006F3CE3"/>
    <w:rsid w:val="006F4372"/>
    <w:rsid w:val="006F4F81"/>
    <w:rsid w:val="006F5A30"/>
    <w:rsid w:val="006F5EDA"/>
    <w:rsid w:val="006F7881"/>
    <w:rsid w:val="00700930"/>
    <w:rsid w:val="00700AA6"/>
    <w:rsid w:val="007015A2"/>
    <w:rsid w:val="00701776"/>
    <w:rsid w:val="00701D4F"/>
    <w:rsid w:val="007021B6"/>
    <w:rsid w:val="0070244F"/>
    <w:rsid w:val="00702712"/>
    <w:rsid w:val="00702963"/>
    <w:rsid w:val="00704B5A"/>
    <w:rsid w:val="00704E3A"/>
    <w:rsid w:val="00707183"/>
    <w:rsid w:val="00711BCE"/>
    <w:rsid w:val="00711E81"/>
    <w:rsid w:val="00711F54"/>
    <w:rsid w:val="0071225D"/>
    <w:rsid w:val="0071227B"/>
    <w:rsid w:val="00714A15"/>
    <w:rsid w:val="00714BBF"/>
    <w:rsid w:val="007154EA"/>
    <w:rsid w:val="007155CA"/>
    <w:rsid w:val="0071674E"/>
    <w:rsid w:val="00716951"/>
    <w:rsid w:val="00716E02"/>
    <w:rsid w:val="007207EB"/>
    <w:rsid w:val="00723F49"/>
    <w:rsid w:val="007241AA"/>
    <w:rsid w:val="007256F1"/>
    <w:rsid w:val="0072599B"/>
    <w:rsid w:val="00730FBA"/>
    <w:rsid w:val="00731B41"/>
    <w:rsid w:val="00731F5B"/>
    <w:rsid w:val="00732259"/>
    <w:rsid w:val="007334A3"/>
    <w:rsid w:val="00733903"/>
    <w:rsid w:val="0073486F"/>
    <w:rsid w:val="00734A7C"/>
    <w:rsid w:val="00735647"/>
    <w:rsid w:val="00737EC5"/>
    <w:rsid w:val="0074025F"/>
    <w:rsid w:val="007403C5"/>
    <w:rsid w:val="00740B3E"/>
    <w:rsid w:val="00740D98"/>
    <w:rsid w:val="007410E7"/>
    <w:rsid w:val="00741EAD"/>
    <w:rsid w:val="00742A7D"/>
    <w:rsid w:val="00742DE0"/>
    <w:rsid w:val="0074423B"/>
    <w:rsid w:val="007449B7"/>
    <w:rsid w:val="00745601"/>
    <w:rsid w:val="0074619E"/>
    <w:rsid w:val="0075278D"/>
    <w:rsid w:val="00752C43"/>
    <w:rsid w:val="00752FDF"/>
    <w:rsid w:val="00754145"/>
    <w:rsid w:val="00754561"/>
    <w:rsid w:val="0075460B"/>
    <w:rsid w:val="007554D2"/>
    <w:rsid w:val="00755513"/>
    <w:rsid w:val="00756AF9"/>
    <w:rsid w:val="00757F93"/>
    <w:rsid w:val="00760E09"/>
    <w:rsid w:val="00761C07"/>
    <w:rsid w:val="00762793"/>
    <w:rsid w:val="00763C4E"/>
    <w:rsid w:val="007641E4"/>
    <w:rsid w:val="007647F4"/>
    <w:rsid w:val="00764EEC"/>
    <w:rsid w:val="00765C7C"/>
    <w:rsid w:val="00765D1D"/>
    <w:rsid w:val="007665EC"/>
    <w:rsid w:val="00767368"/>
    <w:rsid w:val="0077093E"/>
    <w:rsid w:val="00770A95"/>
    <w:rsid w:val="00771210"/>
    <w:rsid w:val="007713F3"/>
    <w:rsid w:val="007718F9"/>
    <w:rsid w:val="00771BD8"/>
    <w:rsid w:val="007729FF"/>
    <w:rsid w:val="00773D4A"/>
    <w:rsid w:val="00774CE8"/>
    <w:rsid w:val="00775398"/>
    <w:rsid w:val="0077598F"/>
    <w:rsid w:val="0077697A"/>
    <w:rsid w:val="00776BEA"/>
    <w:rsid w:val="00777785"/>
    <w:rsid w:val="00780042"/>
    <w:rsid w:val="0078050C"/>
    <w:rsid w:val="00780AD0"/>
    <w:rsid w:val="00781C29"/>
    <w:rsid w:val="00782BBE"/>
    <w:rsid w:val="00782D24"/>
    <w:rsid w:val="00783107"/>
    <w:rsid w:val="007860FC"/>
    <w:rsid w:val="00786F64"/>
    <w:rsid w:val="007873FD"/>
    <w:rsid w:val="00790497"/>
    <w:rsid w:val="007905F8"/>
    <w:rsid w:val="00790B16"/>
    <w:rsid w:val="0079134D"/>
    <w:rsid w:val="0079460C"/>
    <w:rsid w:val="00794684"/>
    <w:rsid w:val="007953B7"/>
    <w:rsid w:val="00795EED"/>
    <w:rsid w:val="0079623B"/>
    <w:rsid w:val="00796B58"/>
    <w:rsid w:val="00796C6D"/>
    <w:rsid w:val="00796D19"/>
    <w:rsid w:val="00797327"/>
    <w:rsid w:val="0079761F"/>
    <w:rsid w:val="007977D6"/>
    <w:rsid w:val="007A001E"/>
    <w:rsid w:val="007A059C"/>
    <w:rsid w:val="007A18CC"/>
    <w:rsid w:val="007A2531"/>
    <w:rsid w:val="007A2750"/>
    <w:rsid w:val="007A299F"/>
    <w:rsid w:val="007A57CA"/>
    <w:rsid w:val="007A6A81"/>
    <w:rsid w:val="007B0097"/>
    <w:rsid w:val="007B06F4"/>
    <w:rsid w:val="007B1383"/>
    <w:rsid w:val="007B143D"/>
    <w:rsid w:val="007B1DA8"/>
    <w:rsid w:val="007B3B9A"/>
    <w:rsid w:val="007B4E8F"/>
    <w:rsid w:val="007B6C1F"/>
    <w:rsid w:val="007B7398"/>
    <w:rsid w:val="007B7E27"/>
    <w:rsid w:val="007C05CE"/>
    <w:rsid w:val="007C373F"/>
    <w:rsid w:val="007C3BA0"/>
    <w:rsid w:val="007C403F"/>
    <w:rsid w:val="007C56D1"/>
    <w:rsid w:val="007C5779"/>
    <w:rsid w:val="007C57D7"/>
    <w:rsid w:val="007C5A66"/>
    <w:rsid w:val="007C66BC"/>
    <w:rsid w:val="007C6D98"/>
    <w:rsid w:val="007D10ED"/>
    <w:rsid w:val="007D129E"/>
    <w:rsid w:val="007D2D4B"/>
    <w:rsid w:val="007D36B9"/>
    <w:rsid w:val="007D3F67"/>
    <w:rsid w:val="007D582C"/>
    <w:rsid w:val="007D5D82"/>
    <w:rsid w:val="007D5E65"/>
    <w:rsid w:val="007D7596"/>
    <w:rsid w:val="007E13A6"/>
    <w:rsid w:val="007E1541"/>
    <w:rsid w:val="007E2266"/>
    <w:rsid w:val="007E22C9"/>
    <w:rsid w:val="007E2FE9"/>
    <w:rsid w:val="007E6706"/>
    <w:rsid w:val="007E68F2"/>
    <w:rsid w:val="007E7723"/>
    <w:rsid w:val="007F01F7"/>
    <w:rsid w:val="007F03E9"/>
    <w:rsid w:val="007F0674"/>
    <w:rsid w:val="007F08DB"/>
    <w:rsid w:val="007F0CDB"/>
    <w:rsid w:val="007F0F9D"/>
    <w:rsid w:val="007F3E82"/>
    <w:rsid w:val="007F4FC6"/>
    <w:rsid w:val="007F5084"/>
    <w:rsid w:val="007F5142"/>
    <w:rsid w:val="007F56F4"/>
    <w:rsid w:val="007F7CE5"/>
    <w:rsid w:val="00801E8A"/>
    <w:rsid w:val="00803727"/>
    <w:rsid w:val="00803B48"/>
    <w:rsid w:val="00805C48"/>
    <w:rsid w:val="00807FB9"/>
    <w:rsid w:val="0081039E"/>
    <w:rsid w:val="00810E0F"/>
    <w:rsid w:val="00811730"/>
    <w:rsid w:val="008117E6"/>
    <w:rsid w:val="00812168"/>
    <w:rsid w:val="008127BA"/>
    <w:rsid w:val="00813610"/>
    <w:rsid w:val="008138B1"/>
    <w:rsid w:val="00813DD4"/>
    <w:rsid w:val="008141E2"/>
    <w:rsid w:val="008142F2"/>
    <w:rsid w:val="00814BEA"/>
    <w:rsid w:val="008151DD"/>
    <w:rsid w:val="00815669"/>
    <w:rsid w:val="00815CB3"/>
    <w:rsid w:val="00816542"/>
    <w:rsid w:val="0082079B"/>
    <w:rsid w:val="00821B10"/>
    <w:rsid w:val="00821DB1"/>
    <w:rsid w:val="00821F53"/>
    <w:rsid w:val="00821F96"/>
    <w:rsid w:val="00822FEA"/>
    <w:rsid w:val="00823171"/>
    <w:rsid w:val="00823B2E"/>
    <w:rsid w:val="008246D3"/>
    <w:rsid w:val="00826C2D"/>
    <w:rsid w:val="008270DD"/>
    <w:rsid w:val="008277A1"/>
    <w:rsid w:val="00830E1A"/>
    <w:rsid w:val="00830F77"/>
    <w:rsid w:val="008323F3"/>
    <w:rsid w:val="00833A1F"/>
    <w:rsid w:val="00834D6C"/>
    <w:rsid w:val="00835A82"/>
    <w:rsid w:val="00835FB5"/>
    <w:rsid w:val="00836CB2"/>
    <w:rsid w:val="0083772C"/>
    <w:rsid w:val="008403C9"/>
    <w:rsid w:val="0084081E"/>
    <w:rsid w:val="00840945"/>
    <w:rsid w:val="008419F7"/>
    <w:rsid w:val="008425EC"/>
    <w:rsid w:val="00842629"/>
    <w:rsid w:val="0084437C"/>
    <w:rsid w:val="0084509C"/>
    <w:rsid w:val="00845B9E"/>
    <w:rsid w:val="0084650D"/>
    <w:rsid w:val="0084662D"/>
    <w:rsid w:val="00846E19"/>
    <w:rsid w:val="00846F3D"/>
    <w:rsid w:val="00847470"/>
    <w:rsid w:val="008500ED"/>
    <w:rsid w:val="00850117"/>
    <w:rsid w:val="00850A6E"/>
    <w:rsid w:val="00851163"/>
    <w:rsid w:val="0085189C"/>
    <w:rsid w:val="008529CA"/>
    <w:rsid w:val="0085361D"/>
    <w:rsid w:val="008550F3"/>
    <w:rsid w:val="00855656"/>
    <w:rsid w:val="00855C88"/>
    <w:rsid w:val="008563C5"/>
    <w:rsid w:val="00857C6A"/>
    <w:rsid w:val="00860913"/>
    <w:rsid w:val="00861109"/>
    <w:rsid w:val="0086125A"/>
    <w:rsid w:val="00861D23"/>
    <w:rsid w:val="00861D77"/>
    <w:rsid w:val="00862F0E"/>
    <w:rsid w:val="00862F6F"/>
    <w:rsid w:val="0086489D"/>
    <w:rsid w:val="00866690"/>
    <w:rsid w:val="0086738B"/>
    <w:rsid w:val="008677E1"/>
    <w:rsid w:val="00870E8E"/>
    <w:rsid w:val="008722B4"/>
    <w:rsid w:val="00873697"/>
    <w:rsid w:val="008737DD"/>
    <w:rsid w:val="00873B8B"/>
    <w:rsid w:val="00874D7A"/>
    <w:rsid w:val="00875BB8"/>
    <w:rsid w:val="008763CA"/>
    <w:rsid w:val="00877B03"/>
    <w:rsid w:val="00877E00"/>
    <w:rsid w:val="008823E7"/>
    <w:rsid w:val="00883153"/>
    <w:rsid w:val="00883A16"/>
    <w:rsid w:val="008844EC"/>
    <w:rsid w:val="00884A4B"/>
    <w:rsid w:val="00885113"/>
    <w:rsid w:val="00885AD7"/>
    <w:rsid w:val="00886AA6"/>
    <w:rsid w:val="00887008"/>
    <w:rsid w:val="00887DFF"/>
    <w:rsid w:val="00887F57"/>
    <w:rsid w:val="008910F8"/>
    <w:rsid w:val="008930A3"/>
    <w:rsid w:val="00893CE9"/>
    <w:rsid w:val="008944FE"/>
    <w:rsid w:val="00894B6C"/>
    <w:rsid w:val="00894C1A"/>
    <w:rsid w:val="008953A4"/>
    <w:rsid w:val="00895430"/>
    <w:rsid w:val="008969DF"/>
    <w:rsid w:val="00896D32"/>
    <w:rsid w:val="008970EA"/>
    <w:rsid w:val="00897BFC"/>
    <w:rsid w:val="008A119E"/>
    <w:rsid w:val="008A2593"/>
    <w:rsid w:val="008A27B5"/>
    <w:rsid w:val="008A2A12"/>
    <w:rsid w:val="008A31D1"/>
    <w:rsid w:val="008A51A9"/>
    <w:rsid w:val="008A66C2"/>
    <w:rsid w:val="008A7DE8"/>
    <w:rsid w:val="008A7F65"/>
    <w:rsid w:val="008B0F88"/>
    <w:rsid w:val="008B190B"/>
    <w:rsid w:val="008B1D72"/>
    <w:rsid w:val="008B2A12"/>
    <w:rsid w:val="008B32B5"/>
    <w:rsid w:val="008B32E8"/>
    <w:rsid w:val="008B3322"/>
    <w:rsid w:val="008B4927"/>
    <w:rsid w:val="008B4FF9"/>
    <w:rsid w:val="008B591B"/>
    <w:rsid w:val="008B5DD0"/>
    <w:rsid w:val="008B61B8"/>
    <w:rsid w:val="008B7D03"/>
    <w:rsid w:val="008C053C"/>
    <w:rsid w:val="008C0744"/>
    <w:rsid w:val="008C143B"/>
    <w:rsid w:val="008C1A17"/>
    <w:rsid w:val="008C1DF8"/>
    <w:rsid w:val="008C22BD"/>
    <w:rsid w:val="008C2C05"/>
    <w:rsid w:val="008C3AF3"/>
    <w:rsid w:val="008C44BC"/>
    <w:rsid w:val="008C4F0B"/>
    <w:rsid w:val="008C68FE"/>
    <w:rsid w:val="008C73D2"/>
    <w:rsid w:val="008D0023"/>
    <w:rsid w:val="008D10CD"/>
    <w:rsid w:val="008D22CC"/>
    <w:rsid w:val="008D2584"/>
    <w:rsid w:val="008D3159"/>
    <w:rsid w:val="008D37C4"/>
    <w:rsid w:val="008D3BF8"/>
    <w:rsid w:val="008D5809"/>
    <w:rsid w:val="008D6DD8"/>
    <w:rsid w:val="008E04D3"/>
    <w:rsid w:val="008E05F1"/>
    <w:rsid w:val="008E081C"/>
    <w:rsid w:val="008E1697"/>
    <w:rsid w:val="008E19D9"/>
    <w:rsid w:val="008E1B77"/>
    <w:rsid w:val="008E362D"/>
    <w:rsid w:val="008E5311"/>
    <w:rsid w:val="008E5B58"/>
    <w:rsid w:val="008E66C5"/>
    <w:rsid w:val="008E69C2"/>
    <w:rsid w:val="008E69DF"/>
    <w:rsid w:val="008E6ADA"/>
    <w:rsid w:val="008E7578"/>
    <w:rsid w:val="008E7D85"/>
    <w:rsid w:val="008F0116"/>
    <w:rsid w:val="008F03E5"/>
    <w:rsid w:val="008F0B5A"/>
    <w:rsid w:val="008F1739"/>
    <w:rsid w:val="008F1A14"/>
    <w:rsid w:val="008F224C"/>
    <w:rsid w:val="008F54CD"/>
    <w:rsid w:val="008F56A7"/>
    <w:rsid w:val="008F61D7"/>
    <w:rsid w:val="008F7A4A"/>
    <w:rsid w:val="00900902"/>
    <w:rsid w:val="009010CF"/>
    <w:rsid w:val="009018C7"/>
    <w:rsid w:val="00901944"/>
    <w:rsid w:val="00901A01"/>
    <w:rsid w:val="00902858"/>
    <w:rsid w:val="00902D83"/>
    <w:rsid w:val="00903140"/>
    <w:rsid w:val="00903402"/>
    <w:rsid w:val="00905F74"/>
    <w:rsid w:val="00906588"/>
    <w:rsid w:val="00906B65"/>
    <w:rsid w:val="00907B95"/>
    <w:rsid w:val="0091055E"/>
    <w:rsid w:val="009109DD"/>
    <w:rsid w:val="00910DCD"/>
    <w:rsid w:val="0091145C"/>
    <w:rsid w:val="0091198F"/>
    <w:rsid w:val="00912B2A"/>
    <w:rsid w:val="00914037"/>
    <w:rsid w:val="00914EEA"/>
    <w:rsid w:val="00917AF3"/>
    <w:rsid w:val="00917DC5"/>
    <w:rsid w:val="0092018A"/>
    <w:rsid w:val="00921083"/>
    <w:rsid w:val="009229E9"/>
    <w:rsid w:val="00922DFC"/>
    <w:rsid w:val="0092342E"/>
    <w:rsid w:val="00924623"/>
    <w:rsid w:val="00924903"/>
    <w:rsid w:val="009261CD"/>
    <w:rsid w:val="00927A51"/>
    <w:rsid w:val="00927D6C"/>
    <w:rsid w:val="00930BAE"/>
    <w:rsid w:val="0093152E"/>
    <w:rsid w:val="0093171A"/>
    <w:rsid w:val="00931E2D"/>
    <w:rsid w:val="009325F8"/>
    <w:rsid w:val="00932BFD"/>
    <w:rsid w:val="00933412"/>
    <w:rsid w:val="009337D2"/>
    <w:rsid w:val="0093381D"/>
    <w:rsid w:val="009338E6"/>
    <w:rsid w:val="00934B2C"/>
    <w:rsid w:val="0093522E"/>
    <w:rsid w:val="0093534C"/>
    <w:rsid w:val="009360DD"/>
    <w:rsid w:val="009367A6"/>
    <w:rsid w:val="00937BD0"/>
    <w:rsid w:val="00940634"/>
    <w:rsid w:val="00940700"/>
    <w:rsid w:val="00940E93"/>
    <w:rsid w:val="00940F43"/>
    <w:rsid w:val="00941005"/>
    <w:rsid w:val="0094118F"/>
    <w:rsid w:val="00941940"/>
    <w:rsid w:val="009430D5"/>
    <w:rsid w:val="009435CF"/>
    <w:rsid w:val="009442EE"/>
    <w:rsid w:val="00944C04"/>
    <w:rsid w:val="0094500B"/>
    <w:rsid w:val="0094623C"/>
    <w:rsid w:val="009467C9"/>
    <w:rsid w:val="00947AE2"/>
    <w:rsid w:val="00947E1C"/>
    <w:rsid w:val="00950133"/>
    <w:rsid w:val="00950422"/>
    <w:rsid w:val="0095050C"/>
    <w:rsid w:val="00951596"/>
    <w:rsid w:val="00953CFF"/>
    <w:rsid w:val="0095528A"/>
    <w:rsid w:val="00955AA6"/>
    <w:rsid w:val="00956979"/>
    <w:rsid w:val="00957790"/>
    <w:rsid w:val="00957DD1"/>
    <w:rsid w:val="00957E4E"/>
    <w:rsid w:val="009608D7"/>
    <w:rsid w:val="00960965"/>
    <w:rsid w:val="00961713"/>
    <w:rsid w:val="00962D20"/>
    <w:rsid w:val="00963280"/>
    <w:rsid w:val="00964F02"/>
    <w:rsid w:val="0096538D"/>
    <w:rsid w:val="00965EF0"/>
    <w:rsid w:val="00966171"/>
    <w:rsid w:val="009674F6"/>
    <w:rsid w:val="00967E09"/>
    <w:rsid w:val="009701DE"/>
    <w:rsid w:val="009702A6"/>
    <w:rsid w:val="009704AE"/>
    <w:rsid w:val="00970DC2"/>
    <w:rsid w:val="00972B98"/>
    <w:rsid w:val="009746CC"/>
    <w:rsid w:val="0097517E"/>
    <w:rsid w:val="00975373"/>
    <w:rsid w:val="00975CF7"/>
    <w:rsid w:val="00976DAA"/>
    <w:rsid w:val="009776FA"/>
    <w:rsid w:val="00977E55"/>
    <w:rsid w:val="00980FF3"/>
    <w:rsid w:val="00981484"/>
    <w:rsid w:val="009817E9"/>
    <w:rsid w:val="00981960"/>
    <w:rsid w:val="009826C1"/>
    <w:rsid w:val="00982F71"/>
    <w:rsid w:val="00985209"/>
    <w:rsid w:val="009865B6"/>
    <w:rsid w:val="00987FCE"/>
    <w:rsid w:val="009906F9"/>
    <w:rsid w:val="00990E99"/>
    <w:rsid w:val="009910C9"/>
    <w:rsid w:val="00991109"/>
    <w:rsid w:val="00991F51"/>
    <w:rsid w:val="00992806"/>
    <w:rsid w:val="00993C3F"/>
    <w:rsid w:val="009946B8"/>
    <w:rsid w:val="00994793"/>
    <w:rsid w:val="00994B45"/>
    <w:rsid w:val="0099519E"/>
    <w:rsid w:val="009952E7"/>
    <w:rsid w:val="00996536"/>
    <w:rsid w:val="009975A8"/>
    <w:rsid w:val="00997D95"/>
    <w:rsid w:val="009A001D"/>
    <w:rsid w:val="009A03B1"/>
    <w:rsid w:val="009A04F6"/>
    <w:rsid w:val="009A0BA4"/>
    <w:rsid w:val="009A0CDA"/>
    <w:rsid w:val="009A0DD1"/>
    <w:rsid w:val="009A1B59"/>
    <w:rsid w:val="009A2AC2"/>
    <w:rsid w:val="009A2B42"/>
    <w:rsid w:val="009A2DF2"/>
    <w:rsid w:val="009A3B04"/>
    <w:rsid w:val="009A4EF1"/>
    <w:rsid w:val="009A54A0"/>
    <w:rsid w:val="009A5F62"/>
    <w:rsid w:val="009A6A17"/>
    <w:rsid w:val="009A7B5C"/>
    <w:rsid w:val="009B1035"/>
    <w:rsid w:val="009B2FB5"/>
    <w:rsid w:val="009B3E91"/>
    <w:rsid w:val="009B5666"/>
    <w:rsid w:val="009B64ED"/>
    <w:rsid w:val="009B7588"/>
    <w:rsid w:val="009B79EA"/>
    <w:rsid w:val="009C151F"/>
    <w:rsid w:val="009C195B"/>
    <w:rsid w:val="009C248C"/>
    <w:rsid w:val="009C32C2"/>
    <w:rsid w:val="009C366C"/>
    <w:rsid w:val="009C3758"/>
    <w:rsid w:val="009C4178"/>
    <w:rsid w:val="009C6333"/>
    <w:rsid w:val="009D0142"/>
    <w:rsid w:val="009D019C"/>
    <w:rsid w:val="009D237C"/>
    <w:rsid w:val="009D3155"/>
    <w:rsid w:val="009D42D3"/>
    <w:rsid w:val="009D54FA"/>
    <w:rsid w:val="009D5C93"/>
    <w:rsid w:val="009D682A"/>
    <w:rsid w:val="009D6F3B"/>
    <w:rsid w:val="009E01C5"/>
    <w:rsid w:val="009E0CF6"/>
    <w:rsid w:val="009E34F0"/>
    <w:rsid w:val="009E3533"/>
    <w:rsid w:val="009E40DB"/>
    <w:rsid w:val="009E423D"/>
    <w:rsid w:val="009E5297"/>
    <w:rsid w:val="009E5B64"/>
    <w:rsid w:val="009E679D"/>
    <w:rsid w:val="009E68B4"/>
    <w:rsid w:val="009F1FD5"/>
    <w:rsid w:val="009F22E2"/>
    <w:rsid w:val="009F3898"/>
    <w:rsid w:val="009F3C03"/>
    <w:rsid w:val="009F3D4C"/>
    <w:rsid w:val="009F4047"/>
    <w:rsid w:val="009F4A4A"/>
    <w:rsid w:val="009F5F1D"/>
    <w:rsid w:val="009F65BE"/>
    <w:rsid w:val="009F73B2"/>
    <w:rsid w:val="009F7AD0"/>
    <w:rsid w:val="00A00507"/>
    <w:rsid w:val="00A02566"/>
    <w:rsid w:val="00A0277F"/>
    <w:rsid w:val="00A02FE9"/>
    <w:rsid w:val="00A03D9C"/>
    <w:rsid w:val="00A03EAC"/>
    <w:rsid w:val="00A03F58"/>
    <w:rsid w:val="00A06491"/>
    <w:rsid w:val="00A071B4"/>
    <w:rsid w:val="00A07A78"/>
    <w:rsid w:val="00A07B17"/>
    <w:rsid w:val="00A103BE"/>
    <w:rsid w:val="00A104B5"/>
    <w:rsid w:val="00A1070A"/>
    <w:rsid w:val="00A10D4D"/>
    <w:rsid w:val="00A10FB0"/>
    <w:rsid w:val="00A119D8"/>
    <w:rsid w:val="00A121C4"/>
    <w:rsid w:val="00A1322F"/>
    <w:rsid w:val="00A15569"/>
    <w:rsid w:val="00A16448"/>
    <w:rsid w:val="00A168B1"/>
    <w:rsid w:val="00A2045D"/>
    <w:rsid w:val="00A21D18"/>
    <w:rsid w:val="00A22EA8"/>
    <w:rsid w:val="00A235B1"/>
    <w:rsid w:val="00A25699"/>
    <w:rsid w:val="00A260CA"/>
    <w:rsid w:val="00A26C22"/>
    <w:rsid w:val="00A26C5E"/>
    <w:rsid w:val="00A26D15"/>
    <w:rsid w:val="00A2705F"/>
    <w:rsid w:val="00A27A49"/>
    <w:rsid w:val="00A27ADC"/>
    <w:rsid w:val="00A27B2E"/>
    <w:rsid w:val="00A30316"/>
    <w:rsid w:val="00A3054A"/>
    <w:rsid w:val="00A309CD"/>
    <w:rsid w:val="00A31043"/>
    <w:rsid w:val="00A33B82"/>
    <w:rsid w:val="00A33D1D"/>
    <w:rsid w:val="00A34F39"/>
    <w:rsid w:val="00A35BF6"/>
    <w:rsid w:val="00A35D18"/>
    <w:rsid w:val="00A35DF2"/>
    <w:rsid w:val="00A3665F"/>
    <w:rsid w:val="00A37C33"/>
    <w:rsid w:val="00A4014B"/>
    <w:rsid w:val="00A403F1"/>
    <w:rsid w:val="00A42478"/>
    <w:rsid w:val="00A42A0A"/>
    <w:rsid w:val="00A4342C"/>
    <w:rsid w:val="00A45C8D"/>
    <w:rsid w:val="00A45F2C"/>
    <w:rsid w:val="00A4786F"/>
    <w:rsid w:val="00A50002"/>
    <w:rsid w:val="00A509B8"/>
    <w:rsid w:val="00A50CCB"/>
    <w:rsid w:val="00A5175C"/>
    <w:rsid w:val="00A51F17"/>
    <w:rsid w:val="00A5242A"/>
    <w:rsid w:val="00A52BEE"/>
    <w:rsid w:val="00A53753"/>
    <w:rsid w:val="00A55551"/>
    <w:rsid w:val="00A56F55"/>
    <w:rsid w:val="00A6116B"/>
    <w:rsid w:val="00A61414"/>
    <w:rsid w:val="00A616DD"/>
    <w:rsid w:val="00A62AA6"/>
    <w:rsid w:val="00A639E1"/>
    <w:rsid w:val="00A63BFF"/>
    <w:rsid w:val="00A63F17"/>
    <w:rsid w:val="00A6478E"/>
    <w:rsid w:val="00A64E94"/>
    <w:rsid w:val="00A64F39"/>
    <w:rsid w:val="00A65909"/>
    <w:rsid w:val="00A65EF9"/>
    <w:rsid w:val="00A668CB"/>
    <w:rsid w:val="00A708A1"/>
    <w:rsid w:val="00A70AC3"/>
    <w:rsid w:val="00A70E0D"/>
    <w:rsid w:val="00A71221"/>
    <w:rsid w:val="00A71E42"/>
    <w:rsid w:val="00A72993"/>
    <w:rsid w:val="00A72A6B"/>
    <w:rsid w:val="00A74B45"/>
    <w:rsid w:val="00A762BC"/>
    <w:rsid w:val="00A76765"/>
    <w:rsid w:val="00A82E07"/>
    <w:rsid w:val="00A82F25"/>
    <w:rsid w:val="00A82FA6"/>
    <w:rsid w:val="00A847FA"/>
    <w:rsid w:val="00A8513C"/>
    <w:rsid w:val="00A8613B"/>
    <w:rsid w:val="00A86C4C"/>
    <w:rsid w:val="00A915A1"/>
    <w:rsid w:val="00A91BF6"/>
    <w:rsid w:val="00A927B3"/>
    <w:rsid w:val="00A93B15"/>
    <w:rsid w:val="00A95680"/>
    <w:rsid w:val="00A95F83"/>
    <w:rsid w:val="00A96935"/>
    <w:rsid w:val="00A97E84"/>
    <w:rsid w:val="00AA0A49"/>
    <w:rsid w:val="00AA0A6C"/>
    <w:rsid w:val="00AA0B11"/>
    <w:rsid w:val="00AA0B35"/>
    <w:rsid w:val="00AA1346"/>
    <w:rsid w:val="00AA1F13"/>
    <w:rsid w:val="00AA1F45"/>
    <w:rsid w:val="00AA30AF"/>
    <w:rsid w:val="00AA4642"/>
    <w:rsid w:val="00AA52D1"/>
    <w:rsid w:val="00AA7817"/>
    <w:rsid w:val="00AA78FB"/>
    <w:rsid w:val="00AB0440"/>
    <w:rsid w:val="00AB0856"/>
    <w:rsid w:val="00AB2B20"/>
    <w:rsid w:val="00AB2D9F"/>
    <w:rsid w:val="00AB5C5E"/>
    <w:rsid w:val="00AB5CCE"/>
    <w:rsid w:val="00AB6CC6"/>
    <w:rsid w:val="00AC01D6"/>
    <w:rsid w:val="00AC04D2"/>
    <w:rsid w:val="00AC0BC0"/>
    <w:rsid w:val="00AC162D"/>
    <w:rsid w:val="00AC19E6"/>
    <w:rsid w:val="00AC1E39"/>
    <w:rsid w:val="00AC2EF0"/>
    <w:rsid w:val="00AC3B7B"/>
    <w:rsid w:val="00AC3FF4"/>
    <w:rsid w:val="00AC484C"/>
    <w:rsid w:val="00AC4F8D"/>
    <w:rsid w:val="00AC643D"/>
    <w:rsid w:val="00AC71F2"/>
    <w:rsid w:val="00AC768D"/>
    <w:rsid w:val="00AC796E"/>
    <w:rsid w:val="00AC7C42"/>
    <w:rsid w:val="00AD092A"/>
    <w:rsid w:val="00AD16B4"/>
    <w:rsid w:val="00AD1895"/>
    <w:rsid w:val="00AD1902"/>
    <w:rsid w:val="00AD2416"/>
    <w:rsid w:val="00AD32D6"/>
    <w:rsid w:val="00AD43D0"/>
    <w:rsid w:val="00AD550E"/>
    <w:rsid w:val="00AE01F8"/>
    <w:rsid w:val="00AE0752"/>
    <w:rsid w:val="00AE0BA5"/>
    <w:rsid w:val="00AE160B"/>
    <w:rsid w:val="00AE2FDC"/>
    <w:rsid w:val="00AE338C"/>
    <w:rsid w:val="00AE359A"/>
    <w:rsid w:val="00AE4103"/>
    <w:rsid w:val="00AE5431"/>
    <w:rsid w:val="00AE5821"/>
    <w:rsid w:val="00AE6DE0"/>
    <w:rsid w:val="00AE70D5"/>
    <w:rsid w:val="00AF062A"/>
    <w:rsid w:val="00AF0BF6"/>
    <w:rsid w:val="00AF1053"/>
    <w:rsid w:val="00AF123C"/>
    <w:rsid w:val="00AF19E0"/>
    <w:rsid w:val="00AF2AF8"/>
    <w:rsid w:val="00AF5416"/>
    <w:rsid w:val="00AF5A56"/>
    <w:rsid w:val="00AF6328"/>
    <w:rsid w:val="00AF7256"/>
    <w:rsid w:val="00B016DE"/>
    <w:rsid w:val="00B0236D"/>
    <w:rsid w:val="00B02923"/>
    <w:rsid w:val="00B0378B"/>
    <w:rsid w:val="00B05218"/>
    <w:rsid w:val="00B054E2"/>
    <w:rsid w:val="00B05A4A"/>
    <w:rsid w:val="00B05C1B"/>
    <w:rsid w:val="00B05C3D"/>
    <w:rsid w:val="00B05E0A"/>
    <w:rsid w:val="00B06719"/>
    <w:rsid w:val="00B06D88"/>
    <w:rsid w:val="00B0783B"/>
    <w:rsid w:val="00B0793D"/>
    <w:rsid w:val="00B07CDA"/>
    <w:rsid w:val="00B11AD0"/>
    <w:rsid w:val="00B12229"/>
    <w:rsid w:val="00B12791"/>
    <w:rsid w:val="00B12D18"/>
    <w:rsid w:val="00B13BCD"/>
    <w:rsid w:val="00B13E36"/>
    <w:rsid w:val="00B14849"/>
    <w:rsid w:val="00B14E38"/>
    <w:rsid w:val="00B161E6"/>
    <w:rsid w:val="00B1720F"/>
    <w:rsid w:val="00B20ABE"/>
    <w:rsid w:val="00B20FC6"/>
    <w:rsid w:val="00B21862"/>
    <w:rsid w:val="00B219C2"/>
    <w:rsid w:val="00B219E8"/>
    <w:rsid w:val="00B2282D"/>
    <w:rsid w:val="00B233C3"/>
    <w:rsid w:val="00B24306"/>
    <w:rsid w:val="00B24A7F"/>
    <w:rsid w:val="00B25CDA"/>
    <w:rsid w:val="00B26856"/>
    <w:rsid w:val="00B27272"/>
    <w:rsid w:val="00B272B7"/>
    <w:rsid w:val="00B3130A"/>
    <w:rsid w:val="00B32880"/>
    <w:rsid w:val="00B33016"/>
    <w:rsid w:val="00B33389"/>
    <w:rsid w:val="00B33705"/>
    <w:rsid w:val="00B33D1B"/>
    <w:rsid w:val="00B35D8B"/>
    <w:rsid w:val="00B36EB7"/>
    <w:rsid w:val="00B404B2"/>
    <w:rsid w:val="00B409BC"/>
    <w:rsid w:val="00B4213A"/>
    <w:rsid w:val="00B42501"/>
    <w:rsid w:val="00B428A7"/>
    <w:rsid w:val="00B42B2E"/>
    <w:rsid w:val="00B43A4D"/>
    <w:rsid w:val="00B45D08"/>
    <w:rsid w:val="00B464AA"/>
    <w:rsid w:val="00B4675D"/>
    <w:rsid w:val="00B46886"/>
    <w:rsid w:val="00B47287"/>
    <w:rsid w:val="00B473F5"/>
    <w:rsid w:val="00B51AEF"/>
    <w:rsid w:val="00B52DC0"/>
    <w:rsid w:val="00B541BE"/>
    <w:rsid w:val="00B54520"/>
    <w:rsid w:val="00B54D4F"/>
    <w:rsid w:val="00B55229"/>
    <w:rsid w:val="00B55806"/>
    <w:rsid w:val="00B55C55"/>
    <w:rsid w:val="00B55F95"/>
    <w:rsid w:val="00B56A1A"/>
    <w:rsid w:val="00B573AC"/>
    <w:rsid w:val="00B57791"/>
    <w:rsid w:val="00B6021B"/>
    <w:rsid w:val="00B60981"/>
    <w:rsid w:val="00B60A27"/>
    <w:rsid w:val="00B62952"/>
    <w:rsid w:val="00B63CEF"/>
    <w:rsid w:val="00B64195"/>
    <w:rsid w:val="00B64BF9"/>
    <w:rsid w:val="00B64D00"/>
    <w:rsid w:val="00B662A9"/>
    <w:rsid w:val="00B66C0B"/>
    <w:rsid w:val="00B67112"/>
    <w:rsid w:val="00B67A4B"/>
    <w:rsid w:val="00B70429"/>
    <w:rsid w:val="00B71867"/>
    <w:rsid w:val="00B719D2"/>
    <w:rsid w:val="00B72079"/>
    <w:rsid w:val="00B73782"/>
    <w:rsid w:val="00B73B4D"/>
    <w:rsid w:val="00B74430"/>
    <w:rsid w:val="00B751D5"/>
    <w:rsid w:val="00B753B6"/>
    <w:rsid w:val="00B7572D"/>
    <w:rsid w:val="00B75E5A"/>
    <w:rsid w:val="00B75FDA"/>
    <w:rsid w:val="00B7618B"/>
    <w:rsid w:val="00B764F6"/>
    <w:rsid w:val="00B76DA1"/>
    <w:rsid w:val="00B771DE"/>
    <w:rsid w:val="00B80AC5"/>
    <w:rsid w:val="00B80F2F"/>
    <w:rsid w:val="00B822FD"/>
    <w:rsid w:val="00B828A8"/>
    <w:rsid w:val="00B82CCF"/>
    <w:rsid w:val="00B83061"/>
    <w:rsid w:val="00B833D2"/>
    <w:rsid w:val="00B8365F"/>
    <w:rsid w:val="00B836AC"/>
    <w:rsid w:val="00B847BB"/>
    <w:rsid w:val="00B84E32"/>
    <w:rsid w:val="00B85062"/>
    <w:rsid w:val="00B855FD"/>
    <w:rsid w:val="00B90977"/>
    <w:rsid w:val="00B90CD4"/>
    <w:rsid w:val="00B911A7"/>
    <w:rsid w:val="00B91594"/>
    <w:rsid w:val="00B91A3A"/>
    <w:rsid w:val="00B922E6"/>
    <w:rsid w:val="00B949AD"/>
    <w:rsid w:val="00B9511C"/>
    <w:rsid w:val="00B95138"/>
    <w:rsid w:val="00B959D2"/>
    <w:rsid w:val="00B962B5"/>
    <w:rsid w:val="00B9752D"/>
    <w:rsid w:val="00BA0595"/>
    <w:rsid w:val="00BA069C"/>
    <w:rsid w:val="00BA0CA1"/>
    <w:rsid w:val="00BA1B00"/>
    <w:rsid w:val="00BA1CF3"/>
    <w:rsid w:val="00BA4D49"/>
    <w:rsid w:val="00BA525D"/>
    <w:rsid w:val="00BA5868"/>
    <w:rsid w:val="00BA6363"/>
    <w:rsid w:val="00BA64FF"/>
    <w:rsid w:val="00BA6DBE"/>
    <w:rsid w:val="00BA7545"/>
    <w:rsid w:val="00BB16E8"/>
    <w:rsid w:val="00BB2175"/>
    <w:rsid w:val="00BB3483"/>
    <w:rsid w:val="00BB36A6"/>
    <w:rsid w:val="00BB59A6"/>
    <w:rsid w:val="00BB5E13"/>
    <w:rsid w:val="00BB6713"/>
    <w:rsid w:val="00BB746A"/>
    <w:rsid w:val="00BC17CD"/>
    <w:rsid w:val="00BC3C57"/>
    <w:rsid w:val="00BC3CFC"/>
    <w:rsid w:val="00BC405D"/>
    <w:rsid w:val="00BC4E4F"/>
    <w:rsid w:val="00BC5445"/>
    <w:rsid w:val="00BC5B85"/>
    <w:rsid w:val="00BC6193"/>
    <w:rsid w:val="00BC640A"/>
    <w:rsid w:val="00BC6830"/>
    <w:rsid w:val="00BD0590"/>
    <w:rsid w:val="00BD1DFF"/>
    <w:rsid w:val="00BD2986"/>
    <w:rsid w:val="00BD469D"/>
    <w:rsid w:val="00BD4795"/>
    <w:rsid w:val="00BD4DA3"/>
    <w:rsid w:val="00BE1CFC"/>
    <w:rsid w:val="00BE2A27"/>
    <w:rsid w:val="00BE335F"/>
    <w:rsid w:val="00BE4E6B"/>
    <w:rsid w:val="00BE51BA"/>
    <w:rsid w:val="00BE5EC5"/>
    <w:rsid w:val="00BE6D8F"/>
    <w:rsid w:val="00BE6E0C"/>
    <w:rsid w:val="00BE73D5"/>
    <w:rsid w:val="00BE7CAD"/>
    <w:rsid w:val="00BE7EE5"/>
    <w:rsid w:val="00BF31BF"/>
    <w:rsid w:val="00BF41A2"/>
    <w:rsid w:val="00BF6108"/>
    <w:rsid w:val="00BF63E1"/>
    <w:rsid w:val="00BF7707"/>
    <w:rsid w:val="00C00AA4"/>
    <w:rsid w:val="00C02347"/>
    <w:rsid w:val="00C03EAD"/>
    <w:rsid w:val="00C051AB"/>
    <w:rsid w:val="00C058FE"/>
    <w:rsid w:val="00C070AB"/>
    <w:rsid w:val="00C07836"/>
    <w:rsid w:val="00C107A3"/>
    <w:rsid w:val="00C116C2"/>
    <w:rsid w:val="00C12463"/>
    <w:rsid w:val="00C12953"/>
    <w:rsid w:val="00C1309B"/>
    <w:rsid w:val="00C13390"/>
    <w:rsid w:val="00C13BE0"/>
    <w:rsid w:val="00C14702"/>
    <w:rsid w:val="00C14740"/>
    <w:rsid w:val="00C153B6"/>
    <w:rsid w:val="00C158D7"/>
    <w:rsid w:val="00C1659C"/>
    <w:rsid w:val="00C1789A"/>
    <w:rsid w:val="00C17928"/>
    <w:rsid w:val="00C201CC"/>
    <w:rsid w:val="00C20E80"/>
    <w:rsid w:val="00C22127"/>
    <w:rsid w:val="00C22CE8"/>
    <w:rsid w:val="00C24964"/>
    <w:rsid w:val="00C24B27"/>
    <w:rsid w:val="00C24D57"/>
    <w:rsid w:val="00C257CD"/>
    <w:rsid w:val="00C26643"/>
    <w:rsid w:val="00C276D8"/>
    <w:rsid w:val="00C27EE3"/>
    <w:rsid w:val="00C30B2E"/>
    <w:rsid w:val="00C31452"/>
    <w:rsid w:val="00C3172D"/>
    <w:rsid w:val="00C31A26"/>
    <w:rsid w:val="00C3235E"/>
    <w:rsid w:val="00C33FE7"/>
    <w:rsid w:val="00C347F9"/>
    <w:rsid w:val="00C34A26"/>
    <w:rsid w:val="00C360B3"/>
    <w:rsid w:val="00C36745"/>
    <w:rsid w:val="00C36E49"/>
    <w:rsid w:val="00C374C6"/>
    <w:rsid w:val="00C402E4"/>
    <w:rsid w:val="00C40BA4"/>
    <w:rsid w:val="00C40BEA"/>
    <w:rsid w:val="00C413A2"/>
    <w:rsid w:val="00C425E4"/>
    <w:rsid w:val="00C43E67"/>
    <w:rsid w:val="00C445AD"/>
    <w:rsid w:val="00C44E93"/>
    <w:rsid w:val="00C451EC"/>
    <w:rsid w:val="00C46611"/>
    <w:rsid w:val="00C4781A"/>
    <w:rsid w:val="00C50413"/>
    <w:rsid w:val="00C5111B"/>
    <w:rsid w:val="00C511BA"/>
    <w:rsid w:val="00C518FA"/>
    <w:rsid w:val="00C51BC5"/>
    <w:rsid w:val="00C52DD1"/>
    <w:rsid w:val="00C5423E"/>
    <w:rsid w:val="00C54679"/>
    <w:rsid w:val="00C54CC8"/>
    <w:rsid w:val="00C55980"/>
    <w:rsid w:val="00C56B35"/>
    <w:rsid w:val="00C5721A"/>
    <w:rsid w:val="00C576B5"/>
    <w:rsid w:val="00C602C4"/>
    <w:rsid w:val="00C6251A"/>
    <w:rsid w:val="00C63CC0"/>
    <w:rsid w:val="00C64434"/>
    <w:rsid w:val="00C64E70"/>
    <w:rsid w:val="00C66077"/>
    <w:rsid w:val="00C66078"/>
    <w:rsid w:val="00C67143"/>
    <w:rsid w:val="00C7040C"/>
    <w:rsid w:val="00C70E84"/>
    <w:rsid w:val="00C71848"/>
    <w:rsid w:val="00C72C2D"/>
    <w:rsid w:val="00C73A52"/>
    <w:rsid w:val="00C741A3"/>
    <w:rsid w:val="00C76C94"/>
    <w:rsid w:val="00C775B0"/>
    <w:rsid w:val="00C777A4"/>
    <w:rsid w:val="00C81494"/>
    <w:rsid w:val="00C81A69"/>
    <w:rsid w:val="00C81F7B"/>
    <w:rsid w:val="00C82272"/>
    <w:rsid w:val="00C8272A"/>
    <w:rsid w:val="00C83689"/>
    <w:rsid w:val="00C8554F"/>
    <w:rsid w:val="00C86020"/>
    <w:rsid w:val="00C86B9C"/>
    <w:rsid w:val="00C87189"/>
    <w:rsid w:val="00C911FF"/>
    <w:rsid w:val="00C91AEA"/>
    <w:rsid w:val="00C91CF7"/>
    <w:rsid w:val="00C9233C"/>
    <w:rsid w:val="00C927BF"/>
    <w:rsid w:val="00C92ABD"/>
    <w:rsid w:val="00C92F31"/>
    <w:rsid w:val="00C93B11"/>
    <w:rsid w:val="00C94E66"/>
    <w:rsid w:val="00C96E50"/>
    <w:rsid w:val="00C9729C"/>
    <w:rsid w:val="00CA0D67"/>
    <w:rsid w:val="00CA1B8D"/>
    <w:rsid w:val="00CA26A6"/>
    <w:rsid w:val="00CA3BED"/>
    <w:rsid w:val="00CA4644"/>
    <w:rsid w:val="00CA58B6"/>
    <w:rsid w:val="00CA6B17"/>
    <w:rsid w:val="00CA7214"/>
    <w:rsid w:val="00CA7441"/>
    <w:rsid w:val="00CA7A07"/>
    <w:rsid w:val="00CB0395"/>
    <w:rsid w:val="00CB1FDB"/>
    <w:rsid w:val="00CB2A64"/>
    <w:rsid w:val="00CB390E"/>
    <w:rsid w:val="00CB43CF"/>
    <w:rsid w:val="00CB4615"/>
    <w:rsid w:val="00CB493D"/>
    <w:rsid w:val="00CB4A2C"/>
    <w:rsid w:val="00CB4B51"/>
    <w:rsid w:val="00CB509F"/>
    <w:rsid w:val="00CB55A2"/>
    <w:rsid w:val="00CB6238"/>
    <w:rsid w:val="00CB665E"/>
    <w:rsid w:val="00CB6864"/>
    <w:rsid w:val="00CB74BC"/>
    <w:rsid w:val="00CB7AC0"/>
    <w:rsid w:val="00CC06C4"/>
    <w:rsid w:val="00CC101C"/>
    <w:rsid w:val="00CC288D"/>
    <w:rsid w:val="00CC2E33"/>
    <w:rsid w:val="00CC3D30"/>
    <w:rsid w:val="00CC497B"/>
    <w:rsid w:val="00CC527B"/>
    <w:rsid w:val="00CC5F3C"/>
    <w:rsid w:val="00CC6CA5"/>
    <w:rsid w:val="00CC7722"/>
    <w:rsid w:val="00CC7845"/>
    <w:rsid w:val="00CD2BB3"/>
    <w:rsid w:val="00CD2C00"/>
    <w:rsid w:val="00CD394E"/>
    <w:rsid w:val="00CD4128"/>
    <w:rsid w:val="00CD4277"/>
    <w:rsid w:val="00CD436C"/>
    <w:rsid w:val="00CD48DD"/>
    <w:rsid w:val="00CD500D"/>
    <w:rsid w:val="00CD51E2"/>
    <w:rsid w:val="00CD5351"/>
    <w:rsid w:val="00CD5434"/>
    <w:rsid w:val="00CD6D02"/>
    <w:rsid w:val="00CD710F"/>
    <w:rsid w:val="00CE00E3"/>
    <w:rsid w:val="00CE024E"/>
    <w:rsid w:val="00CE047E"/>
    <w:rsid w:val="00CE091E"/>
    <w:rsid w:val="00CE1318"/>
    <w:rsid w:val="00CE1AE2"/>
    <w:rsid w:val="00CE2EB4"/>
    <w:rsid w:val="00CE462F"/>
    <w:rsid w:val="00CE4B3D"/>
    <w:rsid w:val="00CE54A8"/>
    <w:rsid w:val="00CE5694"/>
    <w:rsid w:val="00CE5AF8"/>
    <w:rsid w:val="00CF02FD"/>
    <w:rsid w:val="00CF154F"/>
    <w:rsid w:val="00CF1E6F"/>
    <w:rsid w:val="00CF2611"/>
    <w:rsid w:val="00CF2F49"/>
    <w:rsid w:val="00CF321A"/>
    <w:rsid w:val="00CF38C7"/>
    <w:rsid w:val="00CF49FC"/>
    <w:rsid w:val="00CF603E"/>
    <w:rsid w:val="00CF6B62"/>
    <w:rsid w:val="00CF73DE"/>
    <w:rsid w:val="00CF7BBC"/>
    <w:rsid w:val="00D014F5"/>
    <w:rsid w:val="00D01D66"/>
    <w:rsid w:val="00D020D3"/>
    <w:rsid w:val="00D02807"/>
    <w:rsid w:val="00D0305A"/>
    <w:rsid w:val="00D03249"/>
    <w:rsid w:val="00D03DCF"/>
    <w:rsid w:val="00D047C1"/>
    <w:rsid w:val="00D05608"/>
    <w:rsid w:val="00D05B9F"/>
    <w:rsid w:val="00D06867"/>
    <w:rsid w:val="00D0692A"/>
    <w:rsid w:val="00D07077"/>
    <w:rsid w:val="00D077C7"/>
    <w:rsid w:val="00D07D45"/>
    <w:rsid w:val="00D10E73"/>
    <w:rsid w:val="00D1108B"/>
    <w:rsid w:val="00D1185B"/>
    <w:rsid w:val="00D1200F"/>
    <w:rsid w:val="00D12840"/>
    <w:rsid w:val="00D12B3D"/>
    <w:rsid w:val="00D142BD"/>
    <w:rsid w:val="00D149C0"/>
    <w:rsid w:val="00D153A4"/>
    <w:rsid w:val="00D155E9"/>
    <w:rsid w:val="00D1698A"/>
    <w:rsid w:val="00D16A92"/>
    <w:rsid w:val="00D16D9D"/>
    <w:rsid w:val="00D17E2C"/>
    <w:rsid w:val="00D202D9"/>
    <w:rsid w:val="00D2067D"/>
    <w:rsid w:val="00D21D9F"/>
    <w:rsid w:val="00D220FE"/>
    <w:rsid w:val="00D2280E"/>
    <w:rsid w:val="00D22D02"/>
    <w:rsid w:val="00D230EA"/>
    <w:rsid w:val="00D2392D"/>
    <w:rsid w:val="00D23E41"/>
    <w:rsid w:val="00D242EF"/>
    <w:rsid w:val="00D24634"/>
    <w:rsid w:val="00D2510E"/>
    <w:rsid w:val="00D25D2E"/>
    <w:rsid w:val="00D2645C"/>
    <w:rsid w:val="00D26BA7"/>
    <w:rsid w:val="00D27C10"/>
    <w:rsid w:val="00D30D57"/>
    <w:rsid w:val="00D317F3"/>
    <w:rsid w:val="00D318CE"/>
    <w:rsid w:val="00D31B26"/>
    <w:rsid w:val="00D32496"/>
    <w:rsid w:val="00D3252F"/>
    <w:rsid w:val="00D32B29"/>
    <w:rsid w:val="00D33278"/>
    <w:rsid w:val="00D3358E"/>
    <w:rsid w:val="00D345FA"/>
    <w:rsid w:val="00D34FBC"/>
    <w:rsid w:val="00D35914"/>
    <w:rsid w:val="00D3730D"/>
    <w:rsid w:val="00D3746D"/>
    <w:rsid w:val="00D40D6D"/>
    <w:rsid w:val="00D41C24"/>
    <w:rsid w:val="00D46F6D"/>
    <w:rsid w:val="00D47DA2"/>
    <w:rsid w:val="00D50EF4"/>
    <w:rsid w:val="00D51DCB"/>
    <w:rsid w:val="00D51DF0"/>
    <w:rsid w:val="00D522B8"/>
    <w:rsid w:val="00D52B35"/>
    <w:rsid w:val="00D52F9F"/>
    <w:rsid w:val="00D53547"/>
    <w:rsid w:val="00D53557"/>
    <w:rsid w:val="00D54C71"/>
    <w:rsid w:val="00D54F3D"/>
    <w:rsid w:val="00D5543E"/>
    <w:rsid w:val="00D56391"/>
    <w:rsid w:val="00D6179F"/>
    <w:rsid w:val="00D61C15"/>
    <w:rsid w:val="00D6250E"/>
    <w:rsid w:val="00D62C66"/>
    <w:rsid w:val="00D6483C"/>
    <w:rsid w:val="00D66DAF"/>
    <w:rsid w:val="00D701F3"/>
    <w:rsid w:val="00D70AE1"/>
    <w:rsid w:val="00D70EB5"/>
    <w:rsid w:val="00D71318"/>
    <w:rsid w:val="00D71C71"/>
    <w:rsid w:val="00D71CEF"/>
    <w:rsid w:val="00D71DDE"/>
    <w:rsid w:val="00D73787"/>
    <w:rsid w:val="00D742A2"/>
    <w:rsid w:val="00D76FFD"/>
    <w:rsid w:val="00D77721"/>
    <w:rsid w:val="00D80E31"/>
    <w:rsid w:val="00D80F3B"/>
    <w:rsid w:val="00D812FE"/>
    <w:rsid w:val="00D81682"/>
    <w:rsid w:val="00D819C4"/>
    <w:rsid w:val="00D81A1B"/>
    <w:rsid w:val="00D83444"/>
    <w:rsid w:val="00D83D2E"/>
    <w:rsid w:val="00D846E4"/>
    <w:rsid w:val="00D84EB9"/>
    <w:rsid w:val="00D855CE"/>
    <w:rsid w:val="00D85A81"/>
    <w:rsid w:val="00D879F7"/>
    <w:rsid w:val="00D9116D"/>
    <w:rsid w:val="00D911CE"/>
    <w:rsid w:val="00D916AA"/>
    <w:rsid w:val="00D925FB"/>
    <w:rsid w:val="00D935DA"/>
    <w:rsid w:val="00D93D3F"/>
    <w:rsid w:val="00D96270"/>
    <w:rsid w:val="00D9667B"/>
    <w:rsid w:val="00D968E2"/>
    <w:rsid w:val="00D96E46"/>
    <w:rsid w:val="00D96FD6"/>
    <w:rsid w:val="00D979B2"/>
    <w:rsid w:val="00DA0A4D"/>
    <w:rsid w:val="00DA1211"/>
    <w:rsid w:val="00DA1AB7"/>
    <w:rsid w:val="00DA3197"/>
    <w:rsid w:val="00DA3C29"/>
    <w:rsid w:val="00DA43FD"/>
    <w:rsid w:val="00DA467B"/>
    <w:rsid w:val="00DA5A98"/>
    <w:rsid w:val="00DA6201"/>
    <w:rsid w:val="00DB0033"/>
    <w:rsid w:val="00DB1A55"/>
    <w:rsid w:val="00DB1C91"/>
    <w:rsid w:val="00DB22F9"/>
    <w:rsid w:val="00DB2E5B"/>
    <w:rsid w:val="00DB6744"/>
    <w:rsid w:val="00DB6D0B"/>
    <w:rsid w:val="00DB748D"/>
    <w:rsid w:val="00DB74B2"/>
    <w:rsid w:val="00DB7702"/>
    <w:rsid w:val="00DC17E2"/>
    <w:rsid w:val="00DC1AF5"/>
    <w:rsid w:val="00DC1E4A"/>
    <w:rsid w:val="00DC25D0"/>
    <w:rsid w:val="00DC26C0"/>
    <w:rsid w:val="00DC2BE2"/>
    <w:rsid w:val="00DC31E8"/>
    <w:rsid w:val="00DC4B3C"/>
    <w:rsid w:val="00DC522F"/>
    <w:rsid w:val="00DC7352"/>
    <w:rsid w:val="00DC7561"/>
    <w:rsid w:val="00DD02B1"/>
    <w:rsid w:val="00DD0D9C"/>
    <w:rsid w:val="00DD164C"/>
    <w:rsid w:val="00DD1DF2"/>
    <w:rsid w:val="00DD3D4A"/>
    <w:rsid w:val="00DD4485"/>
    <w:rsid w:val="00DD4FE3"/>
    <w:rsid w:val="00DD71F3"/>
    <w:rsid w:val="00DE180C"/>
    <w:rsid w:val="00DE181F"/>
    <w:rsid w:val="00DE2152"/>
    <w:rsid w:val="00DE40E8"/>
    <w:rsid w:val="00DE4167"/>
    <w:rsid w:val="00DE42BC"/>
    <w:rsid w:val="00DE464F"/>
    <w:rsid w:val="00DE5314"/>
    <w:rsid w:val="00DE5695"/>
    <w:rsid w:val="00DE629B"/>
    <w:rsid w:val="00DE6412"/>
    <w:rsid w:val="00DE66BE"/>
    <w:rsid w:val="00DF04AF"/>
    <w:rsid w:val="00DF0E38"/>
    <w:rsid w:val="00DF1348"/>
    <w:rsid w:val="00DF1B40"/>
    <w:rsid w:val="00DF1E4D"/>
    <w:rsid w:val="00DF2F3B"/>
    <w:rsid w:val="00DF5405"/>
    <w:rsid w:val="00DF5572"/>
    <w:rsid w:val="00DF5B39"/>
    <w:rsid w:val="00DF6F85"/>
    <w:rsid w:val="00E00CDA"/>
    <w:rsid w:val="00E01A25"/>
    <w:rsid w:val="00E01ED0"/>
    <w:rsid w:val="00E02C53"/>
    <w:rsid w:val="00E03C1A"/>
    <w:rsid w:val="00E041C6"/>
    <w:rsid w:val="00E053C6"/>
    <w:rsid w:val="00E0595F"/>
    <w:rsid w:val="00E06250"/>
    <w:rsid w:val="00E06540"/>
    <w:rsid w:val="00E06907"/>
    <w:rsid w:val="00E07068"/>
    <w:rsid w:val="00E0752F"/>
    <w:rsid w:val="00E1018F"/>
    <w:rsid w:val="00E1099D"/>
    <w:rsid w:val="00E114B1"/>
    <w:rsid w:val="00E11918"/>
    <w:rsid w:val="00E11E6C"/>
    <w:rsid w:val="00E1202B"/>
    <w:rsid w:val="00E1356E"/>
    <w:rsid w:val="00E13891"/>
    <w:rsid w:val="00E13C8C"/>
    <w:rsid w:val="00E14B9D"/>
    <w:rsid w:val="00E15C3E"/>
    <w:rsid w:val="00E165B7"/>
    <w:rsid w:val="00E17497"/>
    <w:rsid w:val="00E1777E"/>
    <w:rsid w:val="00E17985"/>
    <w:rsid w:val="00E208E3"/>
    <w:rsid w:val="00E20AAA"/>
    <w:rsid w:val="00E20B82"/>
    <w:rsid w:val="00E21EC8"/>
    <w:rsid w:val="00E2662A"/>
    <w:rsid w:val="00E26B01"/>
    <w:rsid w:val="00E2ACDE"/>
    <w:rsid w:val="00E309A3"/>
    <w:rsid w:val="00E31232"/>
    <w:rsid w:val="00E3181C"/>
    <w:rsid w:val="00E31B18"/>
    <w:rsid w:val="00E31BFB"/>
    <w:rsid w:val="00E31F57"/>
    <w:rsid w:val="00E321EC"/>
    <w:rsid w:val="00E32AE9"/>
    <w:rsid w:val="00E33B78"/>
    <w:rsid w:val="00E35B9D"/>
    <w:rsid w:val="00E374BA"/>
    <w:rsid w:val="00E400E1"/>
    <w:rsid w:val="00E4032E"/>
    <w:rsid w:val="00E403D7"/>
    <w:rsid w:val="00E406EB"/>
    <w:rsid w:val="00E40BD7"/>
    <w:rsid w:val="00E411FB"/>
    <w:rsid w:val="00E42746"/>
    <w:rsid w:val="00E434A8"/>
    <w:rsid w:val="00E44489"/>
    <w:rsid w:val="00E4458A"/>
    <w:rsid w:val="00E45540"/>
    <w:rsid w:val="00E46FA6"/>
    <w:rsid w:val="00E5108B"/>
    <w:rsid w:val="00E540F7"/>
    <w:rsid w:val="00E55D2B"/>
    <w:rsid w:val="00E56A57"/>
    <w:rsid w:val="00E571C9"/>
    <w:rsid w:val="00E6010E"/>
    <w:rsid w:val="00E628AA"/>
    <w:rsid w:val="00E62BA7"/>
    <w:rsid w:val="00E62C10"/>
    <w:rsid w:val="00E636B6"/>
    <w:rsid w:val="00E64B25"/>
    <w:rsid w:val="00E64DFD"/>
    <w:rsid w:val="00E64FD3"/>
    <w:rsid w:val="00E650B3"/>
    <w:rsid w:val="00E65CD3"/>
    <w:rsid w:val="00E65D76"/>
    <w:rsid w:val="00E668DF"/>
    <w:rsid w:val="00E70641"/>
    <w:rsid w:val="00E7082F"/>
    <w:rsid w:val="00E720B5"/>
    <w:rsid w:val="00E724FC"/>
    <w:rsid w:val="00E737DA"/>
    <w:rsid w:val="00E74798"/>
    <w:rsid w:val="00E7755C"/>
    <w:rsid w:val="00E77655"/>
    <w:rsid w:val="00E77A9D"/>
    <w:rsid w:val="00E8074F"/>
    <w:rsid w:val="00E80938"/>
    <w:rsid w:val="00E80F95"/>
    <w:rsid w:val="00E817A2"/>
    <w:rsid w:val="00E81AAA"/>
    <w:rsid w:val="00E81B0B"/>
    <w:rsid w:val="00E81DD5"/>
    <w:rsid w:val="00E81F98"/>
    <w:rsid w:val="00E82AA4"/>
    <w:rsid w:val="00E84349"/>
    <w:rsid w:val="00E84698"/>
    <w:rsid w:val="00E84B62"/>
    <w:rsid w:val="00E85CE6"/>
    <w:rsid w:val="00E85ED6"/>
    <w:rsid w:val="00E870BD"/>
    <w:rsid w:val="00E92240"/>
    <w:rsid w:val="00E9281C"/>
    <w:rsid w:val="00E94374"/>
    <w:rsid w:val="00E94519"/>
    <w:rsid w:val="00E945B6"/>
    <w:rsid w:val="00E94C7E"/>
    <w:rsid w:val="00E952D8"/>
    <w:rsid w:val="00E96740"/>
    <w:rsid w:val="00E968AD"/>
    <w:rsid w:val="00E97892"/>
    <w:rsid w:val="00EA2366"/>
    <w:rsid w:val="00EA28DA"/>
    <w:rsid w:val="00EA3467"/>
    <w:rsid w:val="00EA3660"/>
    <w:rsid w:val="00EA3BF6"/>
    <w:rsid w:val="00EA457C"/>
    <w:rsid w:val="00EA4E17"/>
    <w:rsid w:val="00EA5496"/>
    <w:rsid w:val="00EA61FD"/>
    <w:rsid w:val="00EA6437"/>
    <w:rsid w:val="00EA6C50"/>
    <w:rsid w:val="00EA7E40"/>
    <w:rsid w:val="00EA7F75"/>
    <w:rsid w:val="00EB10BB"/>
    <w:rsid w:val="00EB14C6"/>
    <w:rsid w:val="00EB14D8"/>
    <w:rsid w:val="00EB1D16"/>
    <w:rsid w:val="00EB242F"/>
    <w:rsid w:val="00EB3DEB"/>
    <w:rsid w:val="00EB3FF8"/>
    <w:rsid w:val="00EB4FA8"/>
    <w:rsid w:val="00EB73C2"/>
    <w:rsid w:val="00EB794A"/>
    <w:rsid w:val="00EC0425"/>
    <w:rsid w:val="00EC1161"/>
    <w:rsid w:val="00EC17ED"/>
    <w:rsid w:val="00EC263E"/>
    <w:rsid w:val="00EC3466"/>
    <w:rsid w:val="00EC438B"/>
    <w:rsid w:val="00EC46FC"/>
    <w:rsid w:val="00EC4DD9"/>
    <w:rsid w:val="00EC5ACB"/>
    <w:rsid w:val="00EC5E3B"/>
    <w:rsid w:val="00EC7987"/>
    <w:rsid w:val="00ED1BDB"/>
    <w:rsid w:val="00ED2D5A"/>
    <w:rsid w:val="00ED422D"/>
    <w:rsid w:val="00ED517B"/>
    <w:rsid w:val="00ED5C9A"/>
    <w:rsid w:val="00ED6FE2"/>
    <w:rsid w:val="00ED7117"/>
    <w:rsid w:val="00EE02FF"/>
    <w:rsid w:val="00EE04F6"/>
    <w:rsid w:val="00EE11BE"/>
    <w:rsid w:val="00EE1509"/>
    <w:rsid w:val="00EE1DB6"/>
    <w:rsid w:val="00EE2866"/>
    <w:rsid w:val="00EE4EA0"/>
    <w:rsid w:val="00EE6427"/>
    <w:rsid w:val="00EE73D1"/>
    <w:rsid w:val="00EE7774"/>
    <w:rsid w:val="00EE7850"/>
    <w:rsid w:val="00EE7E43"/>
    <w:rsid w:val="00EF001D"/>
    <w:rsid w:val="00EF0AE8"/>
    <w:rsid w:val="00EF103A"/>
    <w:rsid w:val="00EF1BBF"/>
    <w:rsid w:val="00EF2D3E"/>
    <w:rsid w:val="00EF31EB"/>
    <w:rsid w:val="00EF36BF"/>
    <w:rsid w:val="00EF43F9"/>
    <w:rsid w:val="00EF488E"/>
    <w:rsid w:val="00EF5078"/>
    <w:rsid w:val="00EF50A8"/>
    <w:rsid w:val="00EF79E9"/>
    <w:rsid w:val="00EF7AA0"/>
    <w:rsid w:val="00F003C1"/>
    <w:rsid w:val="00F010B1"/>
    <w:rsid w:val="00F03863"/>
    <w:rsid w:val="00F04FA7"/>
    <w:rsid w:val="00F05461"/>
    <w:rsid w:val="00F0684D"/>
    <w:rsid w:val="00F11062"/>
    <w:rsid w:val="00F11A16"/>
    <w:rsid w:val="00F124D9"/>
    <w:rsid w:val="00F1279F"/>
    <w:rsid w:val="00F13C04"/>
    <w:rsid w:val="00F148A5"/>
    <w:rsid w:val="00F1570E"/>
    <w:rsid w:val="00F163CE"/>
    <w:rsid w:val="00F16C48"/>
    <w:rsid w:val="00F202CA"/>
    <w:rsid w:val="00F211DD"/>
    <w:rsid w:val="00F21838"/>
    <w:rsid w:val="00F23C8A"/>
    <w:rsid w:val="00F23D4C"/>
    <w:rsid w:val="00F24371"/>
    <w:rsid w:val="00F26722"/>
    <w:rsid w:val="00F27B04"/>
    <w:rsid w:val="00F3013A"/>
    <w:rsid w:val="00F32702"/>
    <w:rsid w:val="00F33500"/>
    <w:rsid w:val="00F33F21"/>
    <w:rsid w:val="00F34564"/>
    <w:rsid w:val="00F378FE"/>
    <w:rsid w:val="00F379AD"/>
    <w:rsid w:val="00F40462"/>
    <w:rsid w:val="00F42094"/>
    <w:rsid w:val="00F426BE"/>
    <w:rsid w:val="00F44360"/>
    <w:rsid w:val="00F4466C"/>
    <w:rsid w:val="00F45285"/>
    <w:rsid w:val="00F502DA"/>
    <w:rsid w:val="00F5091E"/>
    <w:rsid w:val="00F50EE4"/>
    <w:rsid w:val="00F510C4"/>
    <w:rsid w:val="00F514D9"/>
    <w:rsid w:val="00F51697"/>
    <w:rsid w:val="00F51AA3"/>
    <w:rsid w:val="00F534F1"/>
    <w:rsid w:val="00F5427A"/>
    <w:rsid w:val="00F5428F"/>
    <w:rsid w:val="00F553C0"/>
    <w:rsid w:val="00F554D6"/>
    <w:rsid w:val="00F568C2"/>
    <w:rsid w:val="00F56993"/>
    <w:rsid w:val="00F56BA3"/>
    <w:rsid w:val="00F57159"/>
    <w:rsid w:val="00F610D5"/>
    <w:rsid w:val="00F62246"/>
    <w:rsid w:val="00F6225F"/>
    <w:rsid w:val="00F63876"/>
    <w:rsid w:val="00F638AE"/>
    <w:rsid w:val="00F63C29"/>
    <w:rsid w:val="00F64CA4"/>
    <w:rsid w:val="00F65BCA"/>
    <w:rsid w:val="00F66531"/>
    <w:rsid w:val="00F671C8"/>
    <w:rsid w:val="00F67EA8"/>
    <w:rsid w:val="00F67F51"/>
    <w:rsid w:val="00F7175A"/>
    <w:rsid w:val="00F71F2D"/>
    <w:rsid w:val="00F722DE"/>
    <w:rsid w:val="00F723EE"/>
    <w:rsid w:val="00F72DAD"/>
    <w:rsid w:val="00F73B87"/>
    <w:rsid w:val="00F753B3"/>
    <w:rsid w:val="00F75B6F"/>
    <w:rsid w:val="00F75DC4"/>
    <w:rsid w:val="00F7705B"/>
    <w:rsid w:val="00F77784"/>
    <w:rsid w:val="00F7791A"/>
    <w:rsid w:val="00F77F6C"/>
    <w:rsid w:val="00F80ABA"/>
    <w:rsid w:val="00F81307"/>
    <w:rsid w:val="00F818B0"/>
    <w:rsid w:val="00F83187"/>
    <w:rsid w:val="00F834B9"/>
    <w:rsid w:val="00F83919"/>
    <w:rsid w:val="00F83D77"/>
    <w:rsid w:val="00F8427A"/>
    <w:rsid w:val="00F8477D"/>
    <w:rsid w:val="00F849B6"/>
    <w:rsid w:val="00F84CB1"/>
    <w:rsid w:val="00F84EED"/>
    <w:rsid w:val="00F85BE8"/>
    <w:rsid w:val="00F86858"/>
    <w:rsid w:val="00F9038A"/>
    <w:rsid w:val="00F90B64"/>
    <w:rsid w:val="00F921F8"/>
    <w:rsid w:val="00F92B6F"/>
    <w:rsid w:val="00F92D15"/>
    <w:rsid w:val="00F931BB"/>
    <w:rsid w:val="00F93D33"/>
    <w:rsid w:val="00F93DA7"/>
    <w:rsid w:val="00F94C53"/>
    <w:rsid w:val="00F95CF1"/>
    <w:rsid w:val="00F97875"/>
    <w:rsid w:val="00F97E71"/>
    <w:rsid w:val="00FA030B"/>
    <w:rsid w:val="00FA03CB"/>
    <w:rsid w:val="00FA0CB1"/>
    <w:rsid w:val="00FA1CF2"/>
    <w:rsid w:val="00FA204E"/>
    <w:rsid w:val="00FA226A"/>
    <w:rsid w:val="00FA2323"/>
    <w:rsid w:val="00FA2BB8"/>
    <w:rsid w:val="00FA2BED"/>
    <w:rsid w:val="00FA321B"/>
    <w:rsid w:val="00FA32A8"/>
    <w:rsid w:val="00FA48FB"/>
    <w:rsid w:val="00FA4FA0"/>
    <w:rsid w:val="00FA506B"/>
    <w:rsid w:val="00FA66D6"/>
    <w:rsid w:val="00FA6F96"/>
    <w:rsid w:val="00FA71DC"/>
    <w:rsid w:val="00FB07C8"/>
    <w:rsid w:val="00FB087A"/>
    <w:rsid w:val="00FB1123"/>
    <w:rsid w:val="00FB1B00"/>
    <w:rsid w:val="00FB1DDA"/>
    <w:rsid w:val="00FB1E94"/>
    <w:rsid w:val="00FB2AB7"/>
    <w:rsid w:val="00FB3255"/>
    <w:rsid w:val="00FB4F0A"/>
    <w:rsid w:val="00FB580C"/>
    <w:rsid w:val="00FB5EFD"/>
    <w:rsid w:val="00FB63FD"/>
    <w:rsid w:val="00FB7884"/>
    <w:rsid w:val="00FB7AFF"/>
    <w:rsid w:val="00FB7D89"/>
    <w:rsid w:val="00FC0A63"/>
    <w:rsid w:val="00FC0BCD"/>
    <w:rsid w:val="00FC0BE9"/>
    <w:rsid w:val="00FC14E5"/>
    <w:rsid w:val="00FC1B18"/>
    <w:rsid w:val="00FC23C4"/>
    <w:rsid w:val="00FC24DA"/>
    <w:rsid w:val="00FC3408"/>
    <w:rsid w:val="00FC417F"/>
    <w:rsid w:val="00FC4854"/>
    <w:rsid w:val="00FC5D5D"/>
    <w:rsid w:val="00FC700F"/>
    <w:rsid w:val="00FC75B3"/>
    <w:rsid w:val="00FC76A8"/>
    <w:rsid w:val="00FC7E86"/>
    <w:rsid w:val="00FD0D78"/>
    <w:rsid w:val="00FD0D9B"/>
    <w:rsid w:val="00FD2F8E"/>
    <w:rsid w:val="00FD5E88"/>
    <w:rsid w:val="00FD678B"/>
    <w:rsid w:val="00FD6FE8"/>
    <w:rsid w:val="00FE01FE"/>
    <w:rsid w:val="00FE0365"/>
    <w:rsid w:val="00FE0651"/>
    <w:rsid w:val="00FE11A9"/>
    <w:rsid w:val="00FE1CD7"/>
    <w:rsid w:val="00FE1EE2"/>
    <w:rsid w:val="00FE1FAD"/>
    <w:rsid w:val="00FE2311"/>
    <w:rsid w:val="00FE383E"/>
    <w:rsid w:val="00FE4AD4"/>
    <w:rsid w:val="00FE5496"/>
    <w:rsid w:val="00FE66B4"/>
    <w:rsid w:val="00FF2EA5"/>
    <w:rsid w:val="00FF3239"/>
    <w:rsid w:val="00FF3803"/>
    <w:rsid w:val="00FF6998"/>
    <w:rsid w:val="00FF6EA8"/>
    <w:rsid w:val="00FF79D6"/>
    <w:rsid w:val="00FF7B5A"/>
    <w:rsid w:val="0196FA52"/>
    <w:rsid w:val="01C6BCD4"/>
    <w:rsid w:val="026F0177"/>
    <w:rsid w:val="0274FD1D"/>
    <w:rsid w:val="03245671"/>
    <w:rsid w:val="0338F5DF"/>
    <w:rsid w:val="03603B12"/>
    <w:rsid w:val="03A7F488"/>
    <w:rsid w:val="04CAADAB"/>
    <w:rsid w:val="04FF14C2"/>
    <w:rsid w:val="050CE1A3"/>
    <w:rsid w:val="0557F588"/>
    <w:rsid w:val="059A36B9"/>
    <w:rsid w:val="05F8B80B"/>
    <w:rsid w:val="0697445C"/>
    <w:rsid w:val="06D14ED0"/>
    <w:rsid w:val="072BAF76"/>
    <w:rsid w:val="07707394"/>
    <w:rsid w:val="08348A75"/>
    <w:rsid w:val="0844508F"/>
    <w:rsid w:val="0851C298"/>
    <w:rsid w:val="087B59EE"/>
    <w:rsid w:val="08CDA5FA"/>
    <w:rsid w:val="091CE754"/>
    <w:rsid w:val="092A706A"/>
    <w:rsid w:val="092E6E72"/>
    <w:rsid w:val="09B5611B"/>
    <w:rsid w:val="0A96A8F0"/>
    <w:rsid w:val="0B3662EA"/>
    <w:rsid w:val="0B382BF8"/>
    <w:rsid w:val="0B5476BD"/>
    <w:rsid w:val="0B698A2B"/>
    <w:rsid w:val="0BB564BD"/>
    <w:rsid w:val="0BBD5148"/>
    <w:rsid w:val="0C10D35E"/>
    <w:rsid w:val="0C3CCEB3"/>
    <w:rsid w:val="0D54FDEC"/>
    <w:rsid w:val="0D6F638B"/>
    <w:rsid w:val="0DBE8A49"/>
    <w:rsid w:val="0DFB44F2"/>
    <w:rsid w:val="0E3F5FAF"/>
    <w:rsid w:val="0E58681F"/>
    <w:rsid w:val="0E6FFBEA"/>
    <w:rsid w:val="0F1675C1"/>
    <w:rsid w:val="0F487420"/>
    <w:rsid w:val="1027E7E0"/>
    <w:rsid w:val="10CE3176"/>
    <w:rsid w:val="11DE7FF2"/>
    <w:rsid w:val="1323EBBC"/>
    <w:rsid w:val="135EC0E9"/>
    <w:rsid w:val="1371BC9A"/>
    <w:rsid w:val="13B8891C"/>
    <w:rsid w:val="13C043D1"/>
    <w:rsid w:val="148671CA"/>
    <w:rsid w:val="14B93D91"/>
    <w:rsid w:val="14FDC2A0"/>
    <w:rsid w:val="155427A7"/>
    <w:rsid w:val="15BF5151"/>
    <w:rsid w:val="160BAA7F"/>
    <w:rsid w:val="1669D2F8"/>
    <w:rsid w:val="16A773D9"/>
    <w:rsid w:val="16E97087"/>
    <w:rsid w:val="16FFCEE3"/>
    <w:rsid w:val="171D0253"/>
    <w:rsid w:val="174B5DFA"/>
    <w:rsid w:val="1770C970"/>
    <w:rsid w:val="179054E9"/>
    <w:rsid w:val="17B58BC3"/>
    <w:rsid w:val="17D005DE"/>
    <w:rsid w:val="1848A24C"/>
    <w:rsid w:val="189681A3"/>
    <w:rsid w:val="18A85E0C"/>
    <w:rsid w:val="18D8DEB4"/>
    <w:rsid w:val="18E03DEF"/>
    <w:rsid w:val="1970558C"/>
    <w:rsid w:val="19B51A7E"/>
    <w:rsid w:val="1A8FEDCF"/>
    <w:rsid w:val="1A9A60B1"/>
    <w:rsid w:val="1B58D3F5"/>
    <w:rsid w:val="1B8893FE"/>
    <w:rsid w:val="1C34C5B4"/>
    <w:rsid w:val="1C6267E7"/>
    <w:rsid w:val="1C7404C4"/>
    <w:rsid w:val="1CD127F1"/>
    <w:rsid w:val="1CD9EDD0"/>
    <w:rsid w:val="1D1AB16C"/>
    <w:rsid w:val="1DAD4BF6"/>
    <w:rsid w:val="1DD924B0"/>
    <w:rsid w:val="1E0E9D08"/>
    <w:rsid w:val="1E5CFCB4"/>
    <w:rsid w:val="1E633B37"/>
    <w:rsid w:val="1E6A4321"/>
    <w:rsid w:val="1EE1E190"/>
    <w:rsid w:val="1F367FBF"/>
    <w:rsid w:val="1F4D9E5A"/>
    <w:rsid w:val="1F547A42"/>
    <w:rsid w:val="1FA054D4"/>
    <w:rsid w:val="1FF4F303"/>
    <w:rsid w:val="200F864E"/>
    <w:rsid w:val="202E017F"/>
    <w:rsid w:val="20BB8533"/>
    <w:rsid w:val="214FA3DC"/>
    <w:rsid w:val="21554D92"/>
    <w:rsid w:val="21734815"/>
    <w:rsid w:val="217A2BB8"/>
    <w:rsid w:val="21A1A3BC"/>
    <w:rsid w:val="21CD1048"/>
    <w:rsid w:val="220CFC3C"/>
    <w:rsid w:val="2319C4E7"/>
    <w:rsid w:val="231C876E"/>
    <w:rsid w:val="23E5DD05"/>
    <w:rsid w:val="2401FF04"/>
    <w:rsid w:val="24475FED"/>
    <w:rsid w:val="24F985F0"/>
    <w:rsid w:val="25C6E053"/>
    <w:rsid w:val="25CCCA78"/>
    <w:rsid w:val="268B0BE6"/>
    <w:rsid w:val="26CA7D57"/>
    <w:rsid w:val="26CFCF94"/>
    <w:rsid w:val="26FA0A8F"/>
    <w:rsid w:val="26FA964A"/>
    <w:rsid w:val="27620CE0"/>
    <w:rsid w:val="2776496B"/>
    <w:rsid w:val="27B8B0A4"/>
    <w:rsid w:val="281A00BB"/>
    <w:rsid w:val="281CC3B2"/>
    <w:rsid w:val="2837E2B8"/>
    <w:rsid w:val="285918C2"/>
    <w:rsid w:val="28E91859"/>
    <w:rsid w:val="2992C697"/>
    <w:rsid w:val="29EC1CEA"/>
    <w:rsid w:val="2A2364D7"/>
    <w:rsid w:val="2AC2FB7B"/>
    <w:rsid w:val="2B9C1DEA"/>
    <w:rsid w:val="2BDE5F1B"/>
    <w:rsid w:val="2C0DDF8A"/>
    <w:rsid w:val="2C419BA2"/>
    <w:rsid w:val="2C6A0698"/>
    <w:rsid w:val="2CE382ED"/>
    <w:rsid w:val="2D75F4CE"/>
    <w:rsid w:val="2D7A875A"/>
    <w:rsid w:val="2DA03C92"/>
    <w:rsid w:val="2DB7914E"/>
    <w:rsid w:val="2F07AC9A"/>
    <w:rsid w:val="2F545E3E"/>
    <w:rsid w:val="3086BC9C"/>
    <w:rsid w:val="30DB6688"/>
    <w:rsid w:val="30F0D03F"/>
    <w:rsid w:val="31267A6D"/>
    <w:rsid w:val="312E3522"/>
    <w:rsid w:val="316393CA"/>
    <w:rsid w:val="31AA7E26"/>
    <w:rsid w:val="31D64266"/>
    <w:rsid w:val="31F98D1F"/>
    <w:rsid w:val="323A4177"/>
    <w:rsid w:val="3295EEEC"/>
    <w:rsid w:val="32B53D6C"/>
    <w:rsid w:val="32C5EE04"/>
    <w:rsid w:val="32F8969C"/>
    <w:rsid w:val="3329C193"/>
    <w:rsid w:val="33D21B19"/>
    <w:rsid w:val="33D611D8"/>
    <w:rsid w:val="33E5A521"/>
    <w:rsid w:val="34188CC8"/>
    <w:rsid w:val="344262AC"/>
    <w:rsid w:val="34D7000C"/>
    <w:rsid w:val="34EB9F7A"/>
    <w:rsid w:val="3523B1B0"/>
    <w:rsid w:val="352B10EB"/>
    <w:rsid w:val="3575D205"/>
    <w:rsid w:val="358DC2C3"/>
    <w:rsid w:val="35B9B9FE"/>
    <w:rsid w:val="3645099D"/>
    <w:rsid w:val="3648D170"/>
    <w:rsid w:val="36B0D6F0"/>
    <w:rsid w:val="36D02F98"/>
    <w:rsid w:val="37077785"/>
    <w:rsid w:val="370A9F23"/>
    <w:rsid w:val="3731B280"/>
    <w:rsid w:val="37AA24F9"/>
    <w:rsid w:val="37B2E950"/>
    <w:rsid w:val="37C91267"/>
    <w:rsid w:val="37CA2A2E"/>
    <w:rsid w:val="386ABF76"/>
    <w:rsid w:val="38996222"/>
    <w:rsid w:val="38A6C514"/>
    <w:rsid w:val="38DE5911"/>
    <w:rsid w:val="3AA6537E"/>
    <w:rsid w:val="3AB82FF5"/>
    <w:rsid w:val="3B0343DA"/>
    <w:rsid w:val="3B99F677"/>
    <w:rsid w:val="3B9A14BC"/>
    <w:rsid w:val="3BD17CF0"/>
    <w:rsid w:val="3C15C7FD"/>
    <w:rsid w:val="3C1824E2"/>
    <w:rsid w:val="3C2AF4BB"/>
    <w:rsid w:val="3C9CB65B"/>
    <w:rsid w:val="3D507A1D"/>
    <w:rsid w:val="3D800755"/>
    <w:rsid w:val="3E5009A5"/>
    <w:rsid w:val="3E5121C9"/>
    <w:rsid w:val="3E6717D5"/>
    <w:rsid w:val="3EDADCD6"/>
    <w:rsid w:val="3EF565F9"/>
    <w:rsid w:val="3EF60AAA"/>
    <w:rsid w:val="3F8EC8B6"/>
    <w:rsid w:val="40005880"/>
    <w:rsid w:val="404A472D"/>
    <w:rsid w:val="41592A30"/>
    <w:rsid w:val="4160B30F"/>
    <w:rsid w:val="41697310"/>
    <w:rsid w:val="4172F42D"/>
    <w:rsid w:val="4298DE8F"/>
    <w:rsid w:val="43349ED3"/>
    <w:rsid w:val="434F5AC7"/>
    <w:rsid w:val="43844544"/>
    <w:rsid w:val="442D6777"/>
    <w:rsid w:val="44A76399"/>
    <w:rsid w:val="44C55E1C"/>
    <w:rsid w:val="451138AE"/>
    <w:rsid w:val="45116A84"/>
    <w:rsid w:val="458FF389"/>
    <w:rsid w:val="463E77CA"/>
    <w:rsid w:val="472758DA"/>
    <w:rsid w:val="4737F30C"/>
    <w:rsid w:val="47844936"/>
    <w:rsid w:val="479975F4"/>
    <w:rsid w:val="479C0FD2"/>
    <w:rsid w:val="48008812"/>
    <w:rsid w:val="48AC5EBE"/>
    <w:rsid w:val="48BEFB56"/>
    <w:rsid w:val="48EE888E"/>
    <w:rsid w:val="49025486"/>
    <w:rsid w:val="495DBA78"/>
    <w:rsid w:val="49A7A995"/>
    <w:rsid w:val="49EF630B"/>
    <w:rsid w:val="4A342729"/>
    <w:rsid w:val="4AADFFA2"/>
    <w:rsid w:val="4AD2DB83"/>
    <w:rsid w:val="4B1CEFEE"/>
    <w:rsid w:val="4B22FF27"/>
    <w:rsid w:val="4B2D6F9A"/>
    <w:rsid w:val="4B632E18"/>
    <w:rsid w:val="4BEB2B60"/>
    <w:rsid w:val="4C2D4CFD"/>
    <w:rsid w:val="4CEFB123"/>
    <w:rsid w:val="4D1C17C2"/>
    <w:rsid w:val="4D757ADE"/>
    <w:rsid w:val="4D88D343"/>
    <w:rsid w:val="4E2D0AEF"/>
    <w:rsid w:val="4E8CB109"/>
    <w:rsid w:val="4EE20BB9"/>
    <w:rsid w:val="4F004339"/>
    <w:rsid w:val="4F307522"/>
    <w:rsid w:val="4FD3ED63"/>
    <w:rsid w:val="504A6A38"/>
    <w:rsid w:val="505F813A"/>
    <w:rsid w:val="507A8FE3"/>
    <w:rsid w:val="51867E19"/>
    <w:rsid w:val="51AFEE5B"/>
    <w:rsid w:val="51DA8EF8"/>
    <w:rsid w:val="51F4E54A"/>
    <w:rsid w:val="520DB639"/>
    <w:rsid w:val="530C38A6"/>
    <w:rsid w:val="5410B1C2"/>
    <w:rsid w:val="542D7C8F"/>
    <w:rsid w:val="5445A8CD"/>
    <w:rsid w:val="54491005"/>
    <w:rsid w:val="54789074"/>
    <w:rsid w:val="548D2FE2"/>
    <w:rsid w:val="54FC942D"/>
    <w:rsid w:val="550EAFC9"/>
    <w:rsid w:val="552E243B"/>
    <w:rsid w:val="55753A7C"/>
    <w:rsid w:val="559099A5"/>
    <w:rsid w:val="55BE3BD8"/>
    <w:rsid w:val="56526758"/>
    <w:rsid w:val="56F6127D"/>
    <w:rsid w:val="56F7E510"/>
    <w:rsid w:val="5764EB7B"/>
    <w:rsid w:val="57A9AF99"/>
    <w:rsid w:val="57AC3F4F"/>
    <w:rsid w:val="57CF6F97"/>
    <w:rsid w:val="58291613"/>
    <w:rsid w:val="58388B7D"/>
    <w:rsid w:val="583DB581"/>
    <w:rsid w:val="5845B0FD"/>
    <w:rsid w:val="58505C41"/>
    <w:rsid w:val="588245A4"/>
    <w:rsid w:val="58C8C859"/>
    <w:rsid w:val="596897B8"/>
    <w:rsid w:val="5986AA11"/>
    <w:rsid w:val="598E032E"/>
    <w:rsid w:val="59AD8EA7"/>
    <w:rsid w:val="5A5C5013"/>
    <w:rsid w:val="5AC9608F"/>
    <w:rsid w:val="5AEDAD80"/>
    <w:rsid w:val="5B1833A1"/>
    <w:rsid w:val="5B1B286E"/>
    <w:rsid w:val="5B453123"/>
    <w:rsid w:val="5C2DEAFE"/>
    <w:rsid w:val="5C60D3D2"/>
    <w:rsid w:val="5DB1D3D9"/>
    <w:rsid w:val="5E14F57E"/>
    <w:rsid w:val="5E5559E1"/>
    <w:rsid w:val="5E83C251"/>
    <w:rsid w:val="5EBC710A"/>
    <w:rsid w:val="5F3AADB1"/>
    <w:rsid w:val="5F7D0AC2"/>
    <w:rsid w:val="5F934027"/>
    <w:rsid w:val="5FEECC62"/>
    <w:rsid w:val="602C729E"/>
    <w:rsid w:val="60B9F11E"/>
    <w:rsid w:val="612CBD11"/>
    <w:rsid w:val="61A42B5C"/>
    <w:rsid w:val="622A0665"/>
    <w:rsid w:val="624820B1"/>
    <w:rsid w:val="6349140E"/>
    <w:rsid w:val="6394A27F"/>
    <w:rsid w:val="63BEDD7A"/>
    <w:rsid w:val="640696F0"/>
    <w:rsid w:val="64C50A34"/>
    <w:rsid w:val="64FFAC90"/>
    <w:rsid w:val="653A330C"/>
    <w:rsid w:val="65C5DA89"/>
    <w:rsid w:val="65F8A650"/>
    <w:rsid w:val="666F210F"/>
    <w:rsid w:val="66D1C8BF"/>
    <w:rsid w:val="66D65B4B"/>
    <w:rsid w:val="66FC1083"/>
    <w:rsid w:val="675900DF"/>
    <w:rsid w:val="67E44CE2"/>
    <w:rsid w:val="67F979A0"/>
    <w:rsid w:val="680C6AA7"/>
    <w:rsid w:val="682BD387"/>
    <w:rsid w:val="68B7ECE4"/>
    <w:rsid w:val="69F5FA00"/>
    <w:rsid w:val="6A2E5C4C"/>
    <w:rsid w:val="6A373A79"/>
    <w:rsid w:val="6A4F66B7"/>
    <w:rsid w:val="6B26689C"/>
    <w:rsid w:val="6B6807D0"/>
    <w:rsid w:val="6B7F68CA"/>
    <w:rsid w:val="6C47E8E6"/>
    <w:rsid w:val="6C6B0C61"/>
    <w:rsid w:val="6D9E369D"/>
    <w:rsid w:val="6DA5BE31"/>
    <w:rsid w:val="6DB6A1EA"/>
    <w:rsid w:val="6E47402A"/>
    <w:rsid w:val="6E6DCA1A"/>
    <w:rsid w:val="6E86E4DC"/>
    <w:rsid w:val="6EC0EFC0"/>
    <w:rsid w:val="6F3086DC"/>
    <w:rsid w:val="6F31FB99"/>
    <w:rsid w:val="6F5D1EBC"/>
    <w:rsid w:val="6F8CDEC5"/>
    <w:rsid w:val="70338B6D"/>
    <w:rsid w:val="706E2DC9"/>
    <w:rsid w:val="70DFBD93"/>
    <w:rsid w:val="71D157F9"/>
    <w:rsid w:val="71DEC710"/>
    <w:rsid w:val="72525940"/>
    <w:rsid w:val="73783991"/>
    <w:rsid w:val="73D1CFEE"/>
    <w:rsid w:val="743E3EE1"/>
    <w:rsid w:val="7460A243"/>
    <w:rsid w:val="74713351"/>
    <w:rsid w:val="748D803B"/>
    <w:rsid w:val="74D89420"/>
    <w:rsid w:val="75020462"/>
    <w:rsid w:val="751CF65E"/>
    <w:rsid w:val="75325C53"/>
    <w:rsid w:val="755FCC40"/>
    <w:rsid w:val="75ABA6D2"/>
    <w:rsid w:val="75E7F3B6"/>
    <w:rsid w:val="766A1A16"/>
    <w:rsid w:val="76E70856"/>
    <w:rsid w:val="76EE8276"/>
    <w:rsid w:val="771E427F"/>
    <w:rsid w:val="77860EAB"/>
    <w:rsid w:val="77B5DB15"/>
    <w:rsid w:val="77CAA67B"/>
    <w:rsid w:val="7822120E"/>
    <w:rsid w:val="789D85EC"/>
    <w:rsid w:val="795C2C71"/>
    <w:rsid w:val="79D15613"/>
    <w:rsid w:val="7A5B35EE"/>
    <w:rsid w:val="7A8EF206"/>
    <w:rsid w:val="7ABC53BF"/>
    <w:rsid w:val="7B28DD78"/>
    <w:rsid w:val="7B8FCB88"/>
    <w:rsid w:val="7BA534CF"/>
    <w:rsid w:val="7BE76937"/>
    <w:rsid w:val="7C319CE1"/>
    <w:rsid w:val="7C43C120"/>
    <w:rsid w:val="7C4E3ECC"/>
    <w:rsid w:val="7C5BDA0E"/>
    <w:rsid w:val="7C7E0321"/>
    <w:rsid w:val="7CA5DC7B"/>
    <w:rsid w:val="7CE01935"/>
    <w:rsid w:val="7D4D4849"/>
    <w:rsid w:val="7D792103"/>
    <w:rsid w:val="7DB685E6"/>
    <w:rsid w:val="7DEE0ACC"/>
    <w:rsid w:val="7E03378A"/>
    <w:rsid w:val="7EDFA551"/>
    <w:rsid w:val="7F1CEC09"/>
    <w:rsid w:val="7F3B272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82491"/>
  <w15:docId w15:val="{87EB6433-EE5F-4101-8630-26D1E37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fr-FR" w:bidi="ar-SA"/>
      </w:rPr>
    </w:rPrDefault>
    <w:pPrDefault>
      <w:pPr>
        <w:spacing w:line="28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iPriority="0"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2" w:qFormat="1"/>
    <w:lsdException w:name="Closing" w:locked="0" w:semiHidden="1" w:unhideWhenUsed="1"/>
    <w:lsdException w:name="Signature" w:locked="0" w:semiHidden="1" w:unhideWhenUsed="1"/>
    <w:lsdException w:name="Default Paragraph Font" w:locked="0" w:semiHidden="1" w:uiPriority="0" w:unhideWhenUsed="1"/>
    <w:lsdException w:name="Body Text" w:locked="0" w:semiHidden="1" w:uiPriority="0"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3"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semiHidden="1" w:uiPriority="9" w:unhideWhenUsed="1"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locked="0"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locked="0" w:uiPriority="31" w:qFormat="1"/>
    <w:lsdException w:name="Intense Reference" w:locked="0" w:semiHidden="1" w:uiPriority="32" w:unhideWhenUsed="1" w:qFormat="1"/>
    <w:lsdException w:name="Book Title" w:locked="0" w:semiHidden="1" w:uiPriority="33" w:unhideWhenUsed="1"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0"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F4A84"/>
    <w:pPr>
      <w:spacing w:before="240" w:after="240" w:line="240" w:lineRule="auto"/>
      <w:jc w:val="both"/>
    </w:pPr>
    <w:rPr>
      <w:rFonts w:ascii="Roboto" w:hAnsi="Roboto"/>
      <w:sz w:val="21"/>
    </w:rPr>
  </w:style>
  <w:style w:type="paragraph" w:styleId="Titre1">
    <w:name w:val="heading 1"/>
    <w:basedOn w:val="Normal"/>
    <w:next w:val="Normal"/>
    <w:link w:val="Titre1Car"/>
    <w:uiPriority w:val="4"/>
    <w:qFormat/>
    <w:rsid w:val="0068409A"/>
    <w:pPr>
      <w:keepNext/>
      <w:keepLines/>
      <w:numPr>
        <w:numId w:val="5"/>
      </w:numPr>
      <w:spacing w:before="720" w:line="280" w:lineRule="exact"/>
      <w:outlineLvl w:val="0"/>
    </w:pPr>
    <w:rPr>
      <w:rFonts w:eastAsiaTheme="majorEastAsia" w:cs="Franklin Gothic Book (Corps)"/>
      <w:b/>
      <w:bCs/>
      <w:caps/>
      <w:noProof/>
      <w:color w:val="24356D"/>
      <w:spacing w:val="-4"/>
      <w:sz w:val="24"/>
      <w:szCs w:val="24"/>
    </w:rPr>
  </w:style>
  <w:style w:type="paragraph" w:styleId="Titre2">
    <w:name w:val="heading 2"/>
    <w:basedOn w:val="Normal"/>
    <w:next w:val="Normal"/>
    <w:link w:val="Titre2Car"/>
    <w:uiPriority w:val="4"/>
    <w:qFormat/>
    <w:rsid w:val="00067F3B"/>
    <w:pPr>
      <w:keepNext/>
      <w:keepLines/>
      <w:numPr>
        <w:ilvl w:val="1"/>
        <w:numId w:val="5"/>
      </w:numPr>
      <w:spacing w:before="480" w:after="120" w:line="276" w:lineRule="auto"/>
      <w:outlineLvl w:val="1"/>
    </w:pPr>
    <w:rPr>
      <w:rFonts w:eastAsiaTheme="majorEastAsia" w:cstheme="majorBidi"/>
      <w:b/>
      <w:color w:val="24356D"/>
      <w:sz w:val="22"/>
      <w:szCs w:val="26"/>
    </w:rPr>
  </w:style>
  <w:style w:type="paragraph" w:styleId="Titre3">
    <w:name w:val="heading 3"/>
    <w:basedOn w:val="Normal"/>
    <w:next w:val="Normal"/>
    <w:link w:val="Titre3Car"/>
    <w:uiPriority w:val="4"/>
    <w:qFormat/>
    <w:rsid w:val="00197FC7"/>
    <w:pPr>
      <w:numPr>
        <w:ilvl w:val="2"/>
        <w:numId w:val="5"/>
      </w:numPr>
      <w:ind w:left="1276" w:hanging="623"/>
      <w:outlineLvl w:val="2"/>
    </w:pPr>
    <w:rPr>
      <w:b/>
      <w:bCs/>
      <w:color w:val="24356D" w:themeColor="text2"/>
    </w:rPr>
  </w:style>
  <w:style w:type="paragraph" w:styleId="Titre4">
    <w:name w:val="heading 4"/>
    <w:next w:val="Normal"/>
    <w:link w:val="Titre4Car"/>
    <w:uiPriority w:val="4"/>
    <w:qFormat/>
    <w:rsid w:val="00762793"/>
    <w:pPr>
      <w:keepNext/>
      <w:numPr>
        <w:ilvl w:val="3"/>
        <w:numId w:val="5"/>
      </w:numPr>
      <w:spacing w:before="240" w:line="240" w:lineRule="auto"/>
      <w:outlineLvl w:val="3"/>
    </w:pPr>
    <w:rPr>
      <w:rFonts w:ascii="Roboto" w:eastAsiaTheme="majorEastAsia" w:hAnsi="Roboto" w:cstheme="majorBidi"/>
      <w:bCs/>
      <w:i/>
      <w:iCs/>
      <w:sz w:val="21"/>
      <w:szCs w:val="21"/>
    </w:rPr>
  </w:style>
  <w:style w:type="paragraph" w:styleId="Titre5">
    <w:name w:val="heading 5"/>
    <w:basedOn w:val="Normal"/>
    <w:next w:val="Normal"/>
    <w:link w:val="Titre5Car"/>
    <w:uiPriority w:val="4"/>
    <w:qFormat/>
    <w:rsid w:val="00C347F9"/>
    <w:pPr>
      <w:numPr>
        <w:ilvl w:val="4"/>
        <w:numId w:val="5"/>
      </w:numPr>
      <w:spacing w:before="360" w:after="0"/>
      <w:outlineLvl w:val="4"/>
    </w:pPr>
    <w:rPr>
      <w:color w:val="000000" w:themeColor="text1"/>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067F3B"/>
    <w:rPr>
      <w:rFonts w:ascii="Roboto" w:eastAsiaTheme="majorEastAsia" w:hAnsi="Roboto" w:cstheme="majorBidi"/>
      <w:b/>
      <w:color w:val="24356D"/>
      <w:sz w:val="22"/>
      <w:szCs w:val="26"/>
    </w:rPr>
  </w:style>
  <w:style w:type="character" w:customStyle="1" w:styleId="Titre3Car">
    <w:name w:val="Titre 3 Car"/>
    <w:basedOn w:val="Policepardfaut"/>
    <w:link w:val="Titre3"/>
    <w:uiPriority w:val="4"/>
    <w:rsid w:val="00197FC7"/>
    <w:rPr>
      <w:rFonts w:ascii="Roboto" w:hAnsi="Roboto"/>
      <w:b/>
      <w:bCs/>
      <w:color w:val="24356D" w:themeColor="text2"/>
      <w:sz w:val="21"/>
    </w:rPr>
  </w:style>
  <w:style w:type="table" w:styleId="Listeclaire">
    <w:name w:val="Light List"/>
    <w:basedOn w:val="TableauNormal"/>
    <w:uiPriority w:val="61"/>
    <w:locked/>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la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1Vert">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2Vert">
      <w:tblPr/>
      <w:tcPr>
        <w:tcBorders>
          <w:top w:val="nil"/>
          <w:left w:val="nil"/>
          <w:bottom w:val="nil"/>
          <w:right w:val="nil"/>
          <w:insideH w:val="single" w:sz="4" w:space="0" w:color="815374"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4"/>
    <w:rsid w:val="0068409A"/>
    <w:rPr>
      <w:rFonts w:ascii="Roboto" w:eastAsiaTheme="majorEastAsia" w:hAnsi="Roboto" w:cs="Franklin Gothic Book (Corps)"/>
      <w:b/>
      <w:bCs/>
      <w:caps/>
      <w:noProof/>
      <w:color w:val="24356D"/>
      <w:spacing w:val="-4"/>
      <w:sz w:val="24"/>
      <w:szCs w:val="24"/>
    </w:rPr>
  </w:style>
  <w:style w:type="paragraph" w:customStyle="1" w:styleId="Paragraphenumrot">
    <w:name w:val="Paragraphe numéroté"/>
    <w:basedOn w:val="Normal"/>
    <w:link w:val="ParagraphenumrotCar"/>
    <w:uiPriority w:val="1"/>
    <w:qFormat/>
    <w:locked/>
    <w:rsid w:val="00065BA3"/>
    <w:pPr>
      <w:numPr>
        <w:numId w:val="3"/>
      </w:numPr>
      <w:spacing w:before="180" w:after="60"/>
      <w:ind w:left="0" w:hanging="284"/>
    </w:pPr>
    <w:rPr>
      <w:szCs w:val="21"/>
    </w:rPr>
  </w:style>
  <w:style w:type="paragraph" w:styleId="Titre">
    <w:name w:val="Title"/>
    <w:aliases w:val="Type du document"/>
    <w:basedOn w:val="Corpsdetexte"/>
    <w:next w:val="Normal"/>
    <w:link w:val="TitreCar"/>
    <w:uiPriority w:val="2"/>
    <w:qFormat/>
    <w:rsid w:val="00EF1BBF"/>
    <w:pPr>
      <w:spacing w:before="1320" w:after="0"/>
    </w:pPr>
    <w:rPr>
      <w:b/>
      <w:color w:val="24356D"/>
      <w:sz w:val="24"/>
    </w:rPr>
  </w:style>
  <w:style w:type="character" w:customStyle="1" w:styleId="TitreCar">
    <w:name w:val="Titre Car"/>
    <w:aliases w:val="Type du document Car"/>
    <w:basedOn w:val="Policepardfaut"/>
    <w:link w:val="Titre"/>
    <w:uiPriority w:val="2"/>
    <w:rsid w:val="00EF1BBF"/>
    <w:rPr>
      <w:rFonts w:ascii="Roboto" w:hAnsi="Roboto"/>
      <w:b/>
      <w:color w:val="24356D"/>
      <w:sz w:val="24"/>
    </w:rPr>
  </w:style>
  <w:style w:type="character" w:customStyle="1" w:styleId="WW-Absatz-Standardschriftart11">
    <w:name w:val="WW-Absatz-Standardschriftart11"/>
    <w:uiPriority w:val="99"/>
    <w:semiHidden/>
    <w:locked/>
    <w:rsid w:val="00A8513C"/>
  </w:style>
  <w:style w:type="character" w:customStyle="1" w:styleId="WW8Num1z0">
    <w:name w:val="WW8Num1z0"/>
    <w:semiHidden/>
    <w:locked/>
    <w:rsid w:val="00A8513C"/>
    <w:rPr>
      <w:rFonts w:ascii="Times New Roman" w:eastAsia="Times New Roman" w:hAnsi="Times New Roman" w:cs="Times New Roman"/>
    </w:rPr>
  </w:style>
  <w:style w:type="character" w:customStyle="1" w:styleId="WW8Num1z1">
    <w:name w:val="WW8Num1z1"/>
    <w:semiHidden/>
    <w:locked/>
    <w:rsid w:val="00A8513C"/>
    <w:rPr>
      <w:rFonts w:ascii="Courier New" w:hAnsi="Courier New"/>
    </w:rPr>
  </w:style>
  <w:style w:type="character" w:customStyle="1" w:styleId="WW8Num3z1">
    <w:name w:val="WW8Num3z1"/>
    <w:uiPriority w:val="99"/>
    <w:semiHidden/>
    <w:locked/>
    <w:rsid w:val="00A8513C"/>
    <w:rPr>
      <w:rFonts w:ascii="Courier New" w:hAnsi="Courier New"/>
    </w:rPr>
  </w:style>
  <w:style w:type="character" w:customStyle="1" w:styleId="WW8Num3z2">
    <w:name w:val="WW8Num3z2"/>
    <w:uiPriority w:val="99"/>
    <w:semiHidden/>
    <w:locked/>
    <w:rsid w:val="00A8513C"/>
    <w:rPr>
      <w:rFonts w:ascii="Wingdings" w:hAnsi="Wingdings"/>
    </w:rPr>
  </w:style>
  <w:style w:type="character" w:customStyle="1" w:styleId="WW8Num4z1">
    <w:name w:val="WW8Num4z1"/>
    <w:uiPriority w:val="99"/>
    <w:semiHidden/>
    <w:locked/>
    <w:rsid w:val="00A8513C"/>
    <w:rPr>
      <w:rFonts w:ascii="Courier New" w:hAnsi="Courier New"/>
    </w:rPr>
  </w:style>
  <w:style w:type="character" w:customStyle="1" w:styleId="WW8Num4z2">
    <w:name w:val="WW8Num4z2"/>
    <w:uiPriority w:val="99"/>
    <w:semiHidden/>
    <w:locked/>
    <w:rsid w:val="00A8513C"/>
    <w:rPr>
      <w:rFonts w:ascii="Wingdings" w:hAnsi="Wingdings"/>
    </w:rPr>
  </w:style>
  <w:style w:type="paragraph" w:customStyle="1" w:styleId="Index">
    <w:name w:val="Index"/>
    <w:basedOn w:val="Normal"/>
    <w:uiPriority w:val="99"/>
    <w:semiHidden/>
    <w:locked/>
    <w:rsid w:val="00A8513C"/>
    <w:pPr>
      <w:suppressLineNumbers/>
    </w:pPr>
    <w:rPr>
      <w:rFonts w:ascii="Liberation Sans" w:hAnsi="Liberation Sans" w:cs="Tahoma"/>
    </w:rPr>
  </w:style>
  <w:style w:type="paragraph" w:customStyle="1" w:styleId="puce">
    <w:name w:val="puce"/>
    <w:basedOn w:val="Normal"/>
    <w:uiPriority w:val="11"/>
    <w:locked/>
    <w:rsid w:val="00A8513C"/>
    <w:pPr>
      <w:numPr>
        <w:numId w:val="1"/>
      </w:numPr>
    </w:pPr>
  </w:style>
  <w:style w:type="character" w:customStyle="1" w:styleId="Titre4Car">
    <w:name w:val="Titre 4 Car"/>
    <w:basedOn w:val="Policepardfaut"/>
    <w:link w:val="Titre4"/>
    <w:uiPriority w:val="4"/>
    <w:rsid w:val="00762793"/>
    <w:rPr>
      <w:rFonts w:ascii="Roboto" w:eastAsiaTheme="majorEastAsia" w:hAnsi="Roboto" w:cstheme="majorBidi"/>
      <w:bCs/>
      <w:i/>
      <w:iCs/>
      <w:sz w:val="21"/>
      <w:szCs w:val="21"/>
    </w:rPr>
  </w:style>
  <w:style w:type="character" w:customStyle="1" w:styleId="Titre5Car">
    <w:name w:val="Titre 5 Car"/>
    <w:basedOn w:val="Policepardfaut"/>
    <w:link w:val="Titre5"/>
    <w:uiPriority w:val="4"/>
    <w:rsid w:val="002C4A27"/>
    <w:rPr>
      <w:rFonts w:ascii="Roboto" w:hAnsi="Roboto"/>
      <w:color w:val="000000" w:themeColor="text1"/>
      <w:spacing w:val="-4"/>
      <w:sz w:val="21"/>
    </w:rPr>
  </w:style>
  <w:style w:type="paragraph" w:styleId="En-tte">
    <w:name w:val="header"/>
    <w:basedOn w:val="Normal"/>
    <w:link w:val="En-tteCar"/>
    <w:semiHidden/>
    <w:rsid w:val="00A8513C"/>
    <w:pPr>
      <w:tabs>
        <w:tab w:val="center" w:pos="4536"/>
        <w:tab w:val="right" w:pos="9072"/>
      </w:tabs>
    </w:pPr>
  </w:style>
  <w:style w:type="character" w:customStyle="1" w:styleId="En-tteCar">
    <w:name w:val="En-tête Car"/>
    <w:basedOn w:val="Policepardfaut"/>
    <w:link w:val="En-tte"/>
    <w:semiHidden/>
    <w:rsid w:val="00A8513C"/>
  </w:style>
  <w:style w:type="paragraph" w:styleId="Pieddepage">
    <w:name w:val="footer"/>
    <w:basedOn w:val="Normal"/>
    <w:link w:val="PieddepageCar"/>
    <w:uiPriority w:val="99"/>
    <w:rsid w:val="00121517"/>
    <w:pPr>
      <w:tabs>
        <w:tab w:val="center" w:pos="4536"/>
        <w:tab w:val="right" w:pos="8222"/>
        <w:tab w:val="right" w:pos="9072"/>
      </w:tabs>
      <w:spacing w:after="0"/>
      <w:ind w:right="28"/>
      <w:contextualSpacing/>
      <w:jc w:val="left"/>
    </w:pPr>
    <w:rPr>
      <w:sz w:val="16"/>
    </w:rPr>
  </w:style>
  <w:style w:type="character" w:customStyle="1" w:styleId="PieddepageCar">
    <w:name w:val="Pied de page Car"/>
    <w:link w:val="Pieddepage"/>
    <w:uiPriority w:val="99"/>
    <w:rsid w:val="00121517"/>
    <w:rPr>
      <w:rFonts w:ascii="Roboto" w:hAnsi="Roboto"/>
      <w:sz w:val="16"/>
    </w:rPr>
  </w:style>
  <w:style w:type="paragraph" w:styleId="Lgende">
    <w:name w:val="caption"/>
    <w:basedOn w:val="Normal"/>
    <w:link w:val="LgendeCar"/>
    <w:uiPriority w:val="35"/>
    <w:unhideWhenUsed/>
    <w:qFormat/>
    <w:rsid w:val="00AC768D"/>
    <w:pPr>
      <w:spacing w:before="120" w:after="360"/>
      <w:jc w:val="center"/>
    </w:pPr>
    <w:rPr>
      <w:rFonts w:cs="Tahoma"/>
      <w:bCs/>
      <w:i/>
      <w:color w:val="24356D" w:themeColor="text2"/>
      <w:sz w:val="16"/>
      <w:szCs w:val="18"/>
    </w:rPr>
  </w:style>
  <w:style w:type="paragraph" w:styleId="Liste">
    <w:name w:val="List"/>
    <w:basedOn w:val="Corpsdetexte"/>
    <w:semiHidden/>
    <w:rsid w:val="00A8513C"/>
    <w:rPr>
      <w:rFonts w:ascii="Liberation Sans" w:hAnsi="Liberation Sans" w:cs="Tahoma"/>
    </w:rPr>
  </w:style>
  <w:style w:type="paragraph" w:styleId="Corpsdetexte">
    <w:name w:val="Body Text"/>
    <w:basedOn w:val="Normal"/>
    <w:link w:val="CorpsdetexteCar"/>
    <w:semiHidden/>
    <w:rsid w:val="00A8513C"/>
    <w:pPr>
      <w:spacing w:after="280"/>
    </w:pPr>
  </w:style>
  <w:style w:type="character" w:customStyle="1" w:styleId="CorpsdetexteCar">
    <w:name w:val="Corps de texte Car"/>
    <w:basedOn w:val="Policepardfaut"/>
    <w:link w:val="Corpsdetexte"/>
    <w:semiHidden/>
    <w:rsid w:val="00A8513C"/>
  </w:style>
  <w:style w:type="paragraph" w:styleId="Sous-titre">
    <w:name w:val="Subtitle"/>
    <w:aliases w:val="Titre document"/>
    <w:next w:val="Normal"/>
    <w:link w:val="Sous-titreCar"/>
    <w:uiPriority w:val="3"/>
    <w:qFormat/>
    <w:rsid w:val="002C4A27"/>
    <w:pPr>
      <w:spacing w:after="600"/>
    </w:pPr>
    <w:rPr>
      <w:rFonts w:ascii="Roboto Medium" w:eastAsiaTheme="majorEastAsia" w:hAnsi="Roboto Medium" w:cstheme="minorHAnsi"/>
      <w:bCs/>
      <w:noProof/>
      <w:color w:val="24356D"/>
      <w:spacing w:val="-4"/>
      <w:szCs w:val="24"/>
    </w:rPr>
  </w:style>
  <w:style w:type="character" w:customStyle="1" w:styleId="Sous-titreCar">
    <w:name w:val="Sous-titre Car"/>
    <w:aliases w:val="Titre document Car"/>
    <w:basedOn w:val="Policepardfaut"/>
    <w:link w:val="Sous-titre"/>
    <w:uiPriority w:val="3"/>
    <w:rsid w:val="002C4A27"/>
    <w:rPr>
      <w:rFonts w:ascii="Roboto Medium" w:eastAsiaTheme="majorEastAsia" w:hAnsi="Roboto Medium" w:cstheme="minorHAnsi"/>
      <w:bCs/>
      <w:noProof/>
      <w:color w:val="24356D"/>
      <w:spacing w:val="-4"/>
      <w:szCs w:val="24"/>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character" w:styleId="Accentuationlgre">
    <w:name w:val="Subtle Emphasis"/>
    <w:basedOn w:val="Policepardfaut"/>
    <w:uiPriority w:val="99"/>
    <w:qFormat/>
    <w:rsid w:val="00A8513C"/>
    <w:rPr>
      <w:i/>
      <w:iCs/>
      <w:color w:val="808080" w:themeColor="text1" w:themeTint="7F"/>
    </w:rPr>
  </w:style>
  <w:style w:type="table" w:styleId="Grillemoyenne2-Accent6">
    <w:name w:val="Medium Grid 2 Accent 6"/>
    <w:basedOn w:val="TableauNormal"/>
    <w:uiPriority w:val="68"/>
    <w:locked/>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15374" w:themeColor="accent6"/>
        <w:left w:val="single" w:sz="8" w:space="0" w:color="815374" w:themeColor="accent6"/>
        <w:bottom w:val="single" w:sz="8" w:space="0" w:color="815374" w:themeColor="accent6"/>
        <w:right w:val="single" w:sz="8" w:space="0" w:color="815374" w:themeColor="accent6"/>
        <w:insideH w:val="single" w:sz="8" w:space="0" w:color="815374" w:themeColor="accent6"/>
        <w:insideV w:val="single" w:sz="8" w:space="0" w:color="815374" w:themeColor="accent6"/>
      </w:tblBorders>
    </w:tblPr>
    <w:tcPr>
      <w:shd w:val="clear" w:color="auto" w:fill="E2D2DD" w:themeFill="accent6" w:themeFillTint="3F"/>
      <w:vAlign w:val="center"/>
    </w:tcPr>
    <w:tblStylePr w:type="firstRow">
      <w:rPr>
        <w:b/>
        <w:bCs/>
        <w:color w:val="000000" w:themeColor="text1"/>
      </w:rPr>
      <w:tblPr/>
      <w:tcPr>
        <w:shd w:val="clear" w:color="auto" w:fill="F3ED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AE3" w:themeFill="accent6" w:themeFillTint="33"/>
      </w:tcPr>
    </w:tblStylePr>
    <w:tblStylePr w:type="band1Vert">
      <w:tblPr/>
      <w:tcPr>
        <w:shd w:val="clear" w:color="auto" w:fill="C4A4BB" w:themeFill="accent6" w:themeFillTint="7F"/>
      </w:tcPr>
    </w:tblStylePr>
    <w:tblStylePr w:type="band1Horz">
      <w:tblPr/>
      <w:tcPr>
        <w:tcBorders>
          <w:insideH w:val="single" w:sz="6" w:space="0" w:color="815374" w:themeColor="accent6"/>
          <w:insideV w:val="single" w:sz="6" w:space="0" w:color="815374" w:themeColor="accent6"/>
        </w:tcBorders>
        <w:shd w:val="clear" w:color="auto" w:fill="C4A4BB" w:themeFill="accent6" w:themeFillTint="7F"/>
      </w:tcPr>
    </w:tblStylePr>
    <w:tblStylePr w:type="nwCell">
      <w:tblPr/>
      <w:tcPr>
        <w:shd w:val="clear" w:color="auto" w:fill="FFFFFF" w:themeFill="background1"/>
      </w:tcPr>
    </w:tblStylePr>
  </w:style>
  <w:style w:type="table" w:styleId="Grilledutableau">
    <w:name w:val="Table Grid"/>
    <w:aliases w:val="Exemple 1"/>
    <w:basedOn w:val="TableauNormal"/>
    <w:uiPriority w:val="59"/>
    <w:locked/>
    <w:rsid w:val="006F5A30"/>
    <w:pPr>
      <w:spacing w:before="120" w:after="120" w:line="240" w:lineRule="auto"/>
      <w:contextualSpacing/>
    </w:pPr>
    <w:rPr>
      <w:rFonts w:ascii="Roboto" w:eastAsiaTheme="minorEastAsia" w:hAnsi="Roboto" w:cstheme="minorBidi"/>
      <w:color w:val="000000" w:themeColor="text1"/>
      <w:sz w:val="22"/>
      <w:szCs w:val="22"/>
    </w:rPr>
    <w:tblPr>
      <w:tblStyleRowBandSize w:val="1"/>
      <w:tblStyleColBandSize w:val="1"/>
      <w:tblBorders>
        <w:top w:val="single" w:sz="4" w:space="0" w:color="24356D"/>
        <w:left w:val="single" w:sz="4" w:space="0" w:color="24356D"/>
        <w:bottom w:val="single" w:sz="4" w:space="0" w:color="24356D"/>
        <w:right w:val="single" w:sz="4" w:space="0" w:color="24356D"/>
        <w:insideH w:val="single" w:sz="4" w:space="0" w:color="24356D"/>
        <w:insideV w:val="single" w:sz="4" w:space="0" w:color="24356D"/>
      </w:tblBorders>
      <w:tblCellMar>
        <w:top w:w="113" w:type="dxa"/>
        <w:left w:w="85" w:type="dxa"/>
        <w:bottom w:w="113" w:type="dxa"/>
        <w:right w:w="85" w:type="dxa"/>
      </w:tblCellMar>
    </w:tblPr>
    <w:tcPr>
      <w:vAlign w:val="center"/>
    </w:tcPr>
    <w:tblStylePr w:type="firstRow">
      <w:pPr>
        <w:wordWrap/>
        <w:jc w:val="left"/>
      </w:pPr>
      <w:rPr>
        <w:rFonts w:ascii="Roboto Medium" w:hAnsi="Roboto Medium"/>
        <w:b/>
        <w:color w:val="FFFFFF" w:themeColor="background1"/>
        <w:sz w:val="22"/>
      </w:rPr>
      <w:tblPr/>
      <w:tcPr>
        <w:shd w:val="clear" w:color="auto" w:fill="24356D"/>
      </w:tcPr>
    </w:tblStylePr>
    <w:tblStylePr w:type="lastRow">
      <w:rPr>
        <w:rFonts w:ascii="Roboto Medium" w:hAnsi="Roboto Medium"/>
        <w:b w:val="0"/>
        <w:sz w:val="20"/>
      </w:rPr>
      <w:tblPr/>
      <w:tcPr>
        <w:tcBorders>
          <w:top w:val="nil"/>
          <w:left w:val="nil"/>
          <w:bottom w:val="nil"/>
          <w:right w:val="nil"/>
          <w:insideH w:val="nil"/>
          <w:insideV w:val="nil"/>
        </w:tcBorders>
      </w:tcPr>
    </w:tblStylePr>
    <w:tblStylePr w:type="firstCol">
      <w:rPr>
        <w:rFonts w:ascii="Roboto Medium" w:hAnsi="Roboto Medium"/>
        <w:b/>
        <w:color w:val="auto"/>
      </w:rPr>
      <w:tblPr/>
      <w:tcPr>
        <w:shd w:val="clear" w:color="auto" w:fill="9CC5C4"/>
      </w:tcPr>
    </w:tblStylePr>
    <w:tblStylePr w:type="lastCol">
      <w:rPr>
        <w:rFonts w:ascii="Roboto Medium" w:hAnsi="Roboto Medium"/>
        <w:b w:val="0"/>
        <w:i w:val="0"/>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cBorders>
      </w:tcPr>
    </w:tblStylePr>
    <w:tblStylePr w:type="band1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1Horz">
      <w:tblPr/>
      <w:tcPr>
        <w:tcBorders>
          <w:top w:val="single" w:sz="4" w:space="0" w:color="E7E6E6" w:themeColor="background2"/>
          <w:left w:val="nil"/>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tcBorders>
          <w:top w:val="single" w:sz="4" w:space="0" w:color="E7E6E6" w:themeColor="background2"/>
          <w:left w:val="nil"/>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nwCell">
      <w:pPr>
        <w:wordWrap/>
        <w:spacing w:beforeLines="0" w:before="0" w:beforeAutospacing="0" w:afterLines="0" w:after="0" w:afterAutospacing="0"/>
        <w:contextualSpacing/>
      </w:pPr>
    </w:tblStylePr>
  </w:style>
  <w:style w:type="paragraph" w:styleId="TM3">
    <w:name w:val="toc 3"/>
    <w:basedOn w:val="Normal"/>
    <w:next w:val="Normal"/>
    <w:autoRedefine/>
    <w:uiPriority w:val="39"/>
    <w:unhideWhenUsed/>
    <w:rsid w:val="002C4A27"/>
    <w:pPr>
      <w:tabs>
        <w:tab w:val="right" w:leader="dot" w:pos="8789"/>
      </w:tabs>
      <w:spacing w:after="100"/>
      <w:ind w:left="624"/>
    </w:pPr>
    <w:rPr>
      <w:color w:val="24356D"/>
    </w:rPr>
  </w:style>
  <w:style w:type="character" w:styleId="Lienhypertexte">
    <w:name w:val="Hyperlink"/>
    <w:basedOn w:val="Policepardfaut"/>
    <w:uiPriority w:val="99"/>
    <w:unhideWhenUsed/>
    <w:rsid w:val="00EA7F75"/>
    <w:rPr>
      <w:color w:val="0563C1" w:themeColor="hyperlink"/>
      <w:u w:val="single"/>
    </w:rPr>
  </w:style>
  <w:style w:type="paragraph" w:styleId="TM1">
    <w:name w:val="toc 1"/>
    <w:basedOn w:val="Normal"/>
    <w:next w:val="Normal"/>
    <w:autoRedefine/>
    <w:uiPriority w:val="39"/>
    <w:unhideWhenUsed/>
    <w:rsid w:val="00D73787"/>
    <w:pPr>
      <w:tabs>
        <w:tab w:val="left" w:pos="708"/>
        <w:tab w:val="right" w:leader="dot" w:pos="8789"/>
      </w:tabs>
      <w:spacing w:after="100"/>
    </w:pPr>
    <w:rPr>
      <w:rFonts w:ascii="Roboto Medium" w:hAnsi="Roboto Medium"/>
      <w:b/>
      <w:bCs/>
      <w:caps/>
      <w:noProof/>
      <w:color w:val="24356D"/>
    </w:rPr>
  </w:style>
  <w:style w:type="paragraph" w:styleId="TM2">
    <w:name w:val="toc 2"/>
    <w:basedOn w:val="Normal"/>
    <w:next w:val="Normal"/>
    <w:autoRedefine/>
    <w:uiPriority w:val="39"/>
    <w:unhideWhenUsed/>
    <w:rsid w:val="00572CBE"/>
    <w:pPr>
      <w:tabs>
        <w:tab w:val="left" w:pos="1320"/>
        <w:tab w:val="right" w:leader="dot" w:pos="8789"/>
      </w:tabs>
      <w:spacing w:after="100"/>
      <w:ind w:left="227"/>
    </w:pPr>
    <w:rPr>
      <w:color w:val="24356D"/>
    </w:rPr>
  </w:style>
  <w:style w:type="numbering" w:customStyle="1" w:styleId="Style1">
    <w:name w:val="Style1"/>
    <w:uiPriority w:val="99"/>
    <w:locked/>
    <w:rsid w:val="008677E1"/>
    <w:pPr>
      <w:numPr>
        <w:numId w:val="2"/>
      </w:numPr>
    </w:pPr>
  </w:style>
  <w:style w:type="paragraph" w:customStyle="1" w:styleId="Listeavectirets">
    <w:name w:val="Liste avec tirets"/>
    <w:basedOn w:val="Normal"/>
    <w:uiPriority w:val="7"/>
    <w:qFormat/>
    <w:locked/>
    <w:rsid w:val="003F4A84"/>
    <w:pPr>
      <w:numPr>
        <w:numId w:val="4"/>
      </w:numPr>
      <w:spacing w:before="60" w:after="60"/>
      <w:ind w:left="714" w:hanging="357"/>
    </w:pPr>
  </w:style>
  <w:style w:type="paragraph" w:styleId="TM4">
    <w:name w:val="toc 4"/>
    <w:basedOn w:val="Normal"/>
    <w:next w:val="Normal"/>
    <w:autoRedefine/>
    <w:uiPriority w:val="39"/>
    <w:unhideWhenUsed/>
    <w:rsid w:val="002C4A27"/>
    <w:pPr>
      <w:tabs>
        <w:tab w:val="right" w:pos="8789"/>
      </w:tabs>
      <w:spacing w:after="100"/>
      <w:ind w:left="1191"/>
    </w:pPr>
    <w:rPr>
      <w:color w:val="24356D"/>
    </w:rPr>
  </w:style>
  <w:style w:type="paragraph" w:styleId="TM5">
    <w:name w:val="toc 5"/>
    <w:basedOn w:val="Normal"/>
    <w:next w:val="Normal"/>
    <w:autoRedefine/>
    <w:uiPriority w:val="39"/>
    <w:unhideWhenUsed/>
    <w:rsid w:val="002C4A27"/>
    <w:pPr>
      <w:tabs>
        <w:tab w:val="right" w:leader="dot" w:pos="8789"/>
      </w:tabs>
      <w:spacing w:after="100"/>
      <w:ind w:left="1928"/>
    </w:pPr>
    <w:rPr>
      <w:color w:val="24356D"/>
    </w:rPr>
  </w:style>
  <w:style w:type="table" w:customStyle="1" w:styleId="Exemple3">
    <w:name w:val="Exemple 3"/>
    <w:basedOn w:val="TableauNormal"/>
    <w:uiPriority w:val="99"/>
    <w:locked/>
    <w:rsid w:val="00182502"/>
    <w:pPr>
      <w:spacing w:line="280" w:lineRule="exact"/>
      <w:contextualSpacing/>
    </w:pPr>
    <w:rPr>
      <w:rFonts w:ascii="Roboto" w:hAnsi="Roboto"/>
    </w:rPr>
    <w:tblPr>
      <w:tblStyleRowBandSize w:val="1"/>
      <w:tblStyleColBandSize w:val="1"/>
    </w:tblPr>
    <w:tcPr>
      <w:shd w:val="clear" w:color="auto" w:fill="auto"/>
      <w:tcMar>
        <w:top w:w="113" w:type="dxa"/>
        <w:bottom w:w="113" w:type="dxa"/>
      </w:tcMar>
      <w:vAlign w:val="center"/>
    </w:tcPr>
    <w:tblStylePr w:type="firstRow">
      <w:pPr>
        <w:wordWrap/>
        <w:spacing w:beforeLines="0" w:before="20" w:beforeAutospacing="0" w:afterLines="0" w:after="20" w:afterAutospacing="0" w:line="280" w:lineRule="exact"/>
        <w:contextualSpacing/>
      </w:pPr>
      <w:rPr>
        <w:rFonts w:ascii="Roboto Medium" w:hAnsi="Roboto Medium"/>
        <w:b/>
        <w:color w:val="auto"/>
        <w:sz w:val="20"/>
      </w:rPr>
      <w:tblPr/>
      <w:tcPr>
        <w:shd w:val="clear" w:color="auto" w:fill="24356D"/>
      </w:tcPr>
    </w:tblStylePr>
    <w:tblStylePr w:type="lastRow">
      <w:pPr>
        <w:wordWrap/>
        <w:spacing w:beforeLines="0" w:before="0" w:beforeAutospacing="0" w:afterLines="0" w:after="0" w:afterAutospacing="0" w:line="240" w:lineRule="auto"/>
      </w:pPr>
      <w:rPr>
        <w:b/>
      </w:rPr>
      <w:tblPr/>
      <w:tcPr>
        <w:tcBorders>
          <w:bottom w:val="single" w:sz="4" w:space="0" w:color="E7E6E6" w:themeColor="background2"/>
        </w:tcBorders>
        <w:tcMar>
          <w:top w:w="57" w:type="dxa"/>
          <w:left w:w="113" w:type="dxa"/>
          <w:bottom w:w="57" w:type="dxa"/>
          <w:right w:w="113" w:type="dxa"/>
        </w:tcMar>
      </w:tcPr>
    </w:tblStylePr>
    <w:tblStylePr w:type="band2Vert">
      <w:pPr>
        <w:wordWrap/>
        <w:spacing w:beforeLines="0" w:before="0" w:beforeAutospacing="0" w:afterLines="0" w:after="0" w:afterAutospacing="0"/>
        <w:contextualSpacing/>
      </w:pPr>
    </w:tblStylePr>
    <w:tblStylePr w:type="band1Horz">
      <w:pPr>
        <w:wordWrap/>
        <w:spacing w:beforeLines="0" w:before="120" w:beforeAutospacing="0" w:afterLines="0" w:after="0" w:afterAutospacing="0" w:line="240" w:lineRule="exact"/>
        <w:contextualSpacing/>
      </w:pPr>
      <w:tblPr/>
      <w:tcPr>
        <w:tcBorders>
          <w:bottom w:val="single" w:sz="4" w:space="0" w:color="E7E6E6" w:themeColor="background2"/>
        </w:tcBorders>
        <w:shd w:val="clear" w:color="auto" w:fill="auto"/>
      </w:tcPr>
    </w:tblStylePr>
    <w:tblStylePr w:type="band2Horz">
      <w:pPr>
        <w:wordWrap/>
        <w:spacing w:beforeLines="0" w:before="0" w:beforeAutospacing="0" w:afterLines="0" w:after="0" w:afterAutospacing="0" w:line="240" w:lineRule="exact"/>
        <w:contextualSpacing/>
      </w:pPr>
      <w:tblPr/>
      <w:tcPr>
        <w:tcBorders>
          <w:bottom w:val="single" w:sz="4" w:space="0" w:color="E7E6E6" w:themeColor="background2"/>
        </w:tcBorders>
        <w:shd w:val="clear" w:color="auto" w:fill="auto"/>
      </w:tcPr>
    </w:tblStylePr>
    <w:tblStylePr w:type="nwCell">
      <w:pPr>
        <w:wordWrap/>
        <w:spacing w:beforeLines="0" w:before="0" w:beforeAutospacing="0" w:afterLines="0" w:after="0" w:afterAutospacing="0" w:line="240" w:lineRule="exact"/>
        <w:contextualSpacing/>
        <w:jc w:val="left"/>
      </w:pPr>
    </w:tblStylePr>
  </w:style>
  <w:style w:type="paragraph" w:styleId="Notedebasdepage">
    <w:name w:val="footnote text"/>
    <w:aliases w:val="ALTS FOOTNOTE,fn,Footnotes,Footnote ak,footnote text,FOOTNOTE,Note de bas de page Car5,Note de bas de page Car4 Car,Note de bas de page Car4 Car Car Car Car Car Car Car  Car,Note de bas de page Car4 Car Car,Note de bas de page Car4"/>
    <w:basedOn w:val="Normal"/>
    <w:link w:val="NotedebasdepageCar"/>
    <w:uiPriority w:val="99"/>
    <w:qFormat/>
    <w:rsid w:val="002C4A27"/>
    <w:pPr>
      <w:spacing w:before="0" w:after="0"/>
    </w:pPr>
    <w:rPr>
      <w:color w:val="000000" w:themeColor="text1"/>
      <w:sz w:val="16"/>
    </w:rPr>
  </w:style>
  <w:style w:type="character" w:customStyle="1" w:styleId="NotedebasdepageCar">
    <w:name w:val="Note de bas de page Car"/>
    <w:aliases w:val="ALTS FOOTNOTE Car,fn Car,Footnotes Car,Footnote ak Car,footnote text Car,FOOTNOTE Car,Note de bas de page Car5 Car,Note de bas de page Car4 Car Car1,Note de bas de page Car4 Car Car Car Car Car Car Car  Car Car"/>
    <w:basedOn w:val="Policepardfaut"/>
    <w:link w:val="Notedebasdepage"/>
    <w:uiPriority w:val="99"/>
    <w:rsid w:val="002C4A27"/>
    <w:rPr>
      <w:rFonts w:ascii="Roboto" w:hAnsi="Roboto"/>
      <w:color w:val="000000" w:themeColor="text1"/>
      <w:sz w:val="16"/>
    </w:rPr>
  </w:style>
  <w:style w:type="character" w:styleId="Appelnotedebasdep">
    <w:name w:val="footnote reference"/>
    <w:aliases w:val="footer number"/>
    <w:basedOn w:val="Policepardfaut"/>
    <w:uiPriority w:val="99"/>
    <w:unhideWhenUsed/>
    <w:rsid w:val="0097517E"/>
    <w:rPr>
      <w:vertAlign w:val="superscript"/>
    </w:rPr>
  </w:style>
  <w:style w:type="paragraph" w:customStyle="1" w:styleId="Titredetableauxgraphiquesimages">
    <w:name w:val="Titre de tableaux / graphiques / images"/>
    <w:uiPriority w:val="4"/>
    <w:qFormat/>
    <w:locked/>
    <w:rsid w:val="002C4A27"/>
    <w:pPr>
      <w:spacing w:before="360" w:after="120"/>
    </w:pPr>
    <w:rPr>
      <w:rFonts w:ascii="Roboto" w:hAnsi="Roboto"/>
      <w:b/>
      <w:color w:val="24356D" w:themeColor="text2"/>
      <w:sz w:val="21"/>
      <w:szCs w:val="21"/>
    </w:rPr>
  </w:style>
  <w:style w:type="paragraph" w:styleId="NormalWeb">
    <w:name w:val="Normal (Web)"/>
    <w:basedOn w:val="Normal"/>
    <w:uiPriority w:val="99"/>
    <w:semiHidden/>
    <w:unhideWhenUsed/>
    <w:rsid w:val="00BE4E6B"/>
    <w:pPr>
      <w:spacing w:before="100" w:beforeAutospacing="1" w:after="100" w:afterAutospacing="1"/>
      <w:jc w:val="left"/>
    </w:pPr>
    <w:rPr>
      <w:rFonts w:ascii="Times New Roman" w:eastAsia="Times New Roman" w:hAnsi="Times New Roman"/>
      <w:sz w:val="24"/>
      <w:szCs w:val="24"/>
    </w:rPr>
  </w:style>
  <w:style w:type="table" w:styleId="Ombrageclair">
    <w:name w:val="Light Shading"/>
    <w:basedOn w:val="TableauNormal"/>
    <w:uiPriority w:val="60"/>
    <w:locked/>
    <w:rsid w:val="00862F6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M6">
    <w:name w:val="toc 6"/>
    <w:basedOn w:val="Normal"/>
    <w:next w:val="Normal"/>
    <w:autoRedefine/>
    <w:uiPriority w:val="39"/>
    <w:semiHidden/>
    <w:unhideWhenUsed/>
    <w:rsid w:val="002C4A27"/>
    <w:pPr>
      <w:tabs>
        <w:tab w:val="right" w:leader="dot" w:pos="8789"/>
      </w:tabs>
      <w:spacing w:after="100"/>
      <w:ind w:left="1050"/>
    </w:pPr>
    <w:rPr>
      <w:color w:val="24356D"/>
    </w:rPr>
  </w:style>
  <w:style w:type="paragraph" w:styleId="TM7">
    <w:name w:val="toc 7"/>
    <w:basedOn w:val="Normal"/>
    <w:next w:val="Normal"/>
    <w:autoRedefine/>
    <w:uiPriority w:val="39"/>
    <w:semiHidden/>
    <w:unhideWhenUsed/>
    <w:rsid w:val="002C4A27"/>
    <w:pPr>
      <w:tabs>
        <w:tab w:val="right" w:leader="dot" w:pos="8789"/>
      </w:tabs>
      <w:spacing w:after="100"/>
      <w:ind w:left="1260"/>
    </w:pPr>
    <w:rPr>
      <w:color w:val="24356D"/>
    </w:rPr>
  </w:style>
  <w:style w:type="paragraph" w:styleId="TM8">
    <w:name w:val="toc 8"/>
    <w:basedOn w:val="Normal"/>
    <w:next w:val="Normal"/>
    <w:autoRedefine/>
    <w:uiPriority w:val="39"/>
    <w:semiHidden/>
    <w:unhideWhenUsed/>
    <w:rsid w:val="002C4A27"/>
    <w:pPr>
      <w:tabs>
        <w:tab w:val="right" w:leader="dot" w:pos="8789"/>
      </w:tabs>
      <w:spacing w:after="100"/>
      <w:ind w:left="1470"/>
    </w:pPr>
    <w:rPr>
      <w:color w:val="24356D"/>
    </w:rPr>
  </w:style>
  <w:style w:type="paragraph" w:styleId="TM9">
    <w:name w:val="toc 9"/>
    <w:basedOn w:val="Normal"/>
    <w:next w:val="Normal"/>
    <w:autoRedefine/>
    <w:uiPriority w:val="39"/>
    <w:semiHidden/>
    <w:unhideWhenUsed/>
    <w:rsid w:val="002C4A27"/>
    <w:pPr>
      <w:tabs>
        <w:tab w:val="right" w:leader="dot" w:pos="8789"/>
      </w:tabs>
      <w:spacing w:after="100"/>
      <w:ind w:left="1680"/>
    </w:pPr>
    <w:rPr>
      <w:color w:val="24356D"/>
    </w:rPr>
  </w:style>
  <w:style w:type="character" w:styleId="Marquedecommentaire">
    <w:name w:val="annotation reference"/>
    <w:basedOn w:val="Policepardfaut"/>
    <w:uiPriority w:val="99"/>
    <w:semiHidden/>
    <w:unhideWhenUsed/>
    <w:rsid w:val="009B1035"/>
    <w:rPr>
      <w:sz w:val="16"/>
      <w:szCs w:val="16"/>
    </w:rPr>
  </w:style>
  <w:style w:type="paragraph" w:styleId="Objetducommentaire">
    <w:name w:val="annotation subject"/>
    <w:basedOn w:val="Normal"/>
    <w:next w:val="Normal"/>
    <w:link w:val="ObjetducommentaireCar"/>
    <w:uiPriority w:val="99"/>
    <w:semiHidden/>
    <w:unhideWhenUsed/>
    <w:rsid w:val="003F4A84"/>
    <w:rPr>
      <w:b/>
      <w:bCs/>
      <w:sz w:val="20"/>
    </w:rPr>
  </w:style>
  <w:style w:type="character" w:customStyle="1" w:styleId="ObjetducommentaireCar">
    <w:name w:val="Objet du commentaire Car"/>
    <w:basedOn w:val="Policepardfaut"/>
    <w:link w:val="Objetducommentaire"/>
    <w:uiPriority w:val="99"/>
    <w:semiHidden/>
    <w:rsid w:val="003F4A84"/>
    <w:rPr>
      <w:rFonts w:ascii="Roboto" w:hAnsi="Roboto"/>
      <w:b/>
      <w:bCs/>
    </w:rPr>
  </w:style>
  <w:style w:type="paragraph" w:styleId="Notedefin">
    <w:name w:val="endnote text"/>
    <w:basedOn w:val="Normal"/>
    <w:link w:val="NotedefinCar"/>
    <w:uiPriority w:val="99"/>
    <w:semiHidden/>
    <w:unhideWhenUsed/>
    <w:rsid w:val="00157A9D"/>
    <w:pPr>
      <w:spacing w:before="0" w:after="0"/>
    </w:pPr>
    <w:rPr>
      <w:sz w:val="20"/>
    </w:rPr>
  </w:style>
  <w:style w:type="character" w:customStyle="1" w:styleId="NotedefinCar">
    <w:name w:val="Note de fin Car"/>
    <w:basedOn w:val="Policepardfaut"/>
    <w:link w:val="Notedefin"/>
    <w:uiPriority w:val="99"/>
    <w:semiHidden/>
    <w:rsid w:val="00157A9D"/>
    <w:rPr>
      <w:rFonts w:ascii="Roboto" w:hAnsi="Roboto"/>
    </w:rPr>
  </w:style>
  <w:style w:type="character" w:styleId="Appeldenotedefin">
    <w:name w:val="endnote reference"/>
    <w:basedOn w:val="Policepardfaut"/>
    <w:uiPriority w:val="99"/>
    <w:semiHidden/>
    <w:unhideWhenUsed/>
    <w:rsid w:val="00157A9D"/>
    <w:rPr>
      <w:vertAlign w:val="superscript"/>
    </w:rPr>
  </w:style>
  <w:style w:type="character" w:customStyle="1" w:styleId="ParagraphenumrotCar">
    <w:name w:val="Paragraphe numéroté Car"/>
    <w:basedOn w:val="Policepardfaut"/>
    <w:link w:val="Paragraphenumrot"/>
    <w:uiPriority w:val="1"/>
    <w:rsid w:val="00065BA3"/>
    <w:rPr>
      <w:rFonts w:ascii="Roboto" w:hAnsi="Roboto"/>
      <w:sz w:val="21"/>
      <w:szCs w:val="21"/>
    </w:rPr>
  </w:style>
  <w:style w:type="table" w:styleId="Grilledetableauclaire">
    <w:name w:val="Grid Table Light"/>
    <w:basedOn w:val="TableauNormal"/>
    <w:uiPriority w:val="40"/>
    <w:locked/>
    <w:rsid w:val="00187E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947E1C"/>
    <w:pPr>
      <w:spacing w:line="240" w:lineRule="auto"/>
    </w:pPr>
    <w:rPr>
      <w:rFonts w:ascii="Roboto" w:hAnsi="Roboto"/>
      <w:sz w:val="21"/>
    </w:rPr>
  </w:style>
  <w:style w:type="character" w:styleId="Numrodeligne">
    <w:name w:val="line number"/>
    <w:basedOn w:val="Policepardfaut"/>
    <w:uiPriority w:val="99"/>
    <w:semiHidden/>
    <w:unhideWhenUsed/>
    <w:rsid w:val="00F1279F"/>
  </w:style>
  <w:style w:type="table" w:styleId="TableauGrille1Clair-Accentuation2">
    <w:name w:val="Grid Table 1 Light Accent 2"/>
    <w:basedOn w:val="TableauNormal"/>
    <w:uiPriority w:val="46"/>
    <w:locked/>
    <w:rsid w:val="0008109D"/>
    <w:pPr>
      <w:spacing w:line="240" w:lineRule="auto"/>
    </w:pPr>
    <w:tblPr>
      <w:tblStyleRowBandSize w:val="1"/>
      <w:tblStyleColBandSize w:val="1"/>
      <w:tblBorders>
        <w:top w:val="single" w:sz="4" w:space="0" w:color="FFD494" w:themeColor="accent2" w:themeTint="66"/>
        <w:left w:val="single" w:sz="4" w:space="0" w:color="FFD494" w:themeColor="accent2" w:themeTint="66"/>
        <w:bottom w:val="single" w:sz="4" w:space="0" w:color="FFD494" w:themeColor="accent2" w:themeTint="66"/>
        <w:right w:val="single" w:sz="4" w:space="0" w:color="FFD494" w:themeColor="accent2" w:themeTint="66"/>
        <w:insideH w:val="single" w:sz="4" w:space="0" w:color="FFD494" w:themeColor="accent2" w:themeTint="66"/>
        <w:insideV w:val="single" w:sz="4" w:space="0" w:color="FFD494" w:themeColor="accent2" w:themeTint="66"/>
      </w:tblBorders>
    </w:tblPr>
    <w:tblStylePr w:type="firstRow">
      <w:rPr>
        <w:b/>
        <w:bCs/>
      </w:rPr>
      <w:tblPr/>
      <w:tcPr>
        <w:tcBorders>
          <w:bottom w:val="single" w:sz="12" w:space="0" w:color="FFBE5E" w:themeColor="accent2" w:themeTint="99"/>
        </w:tcBorders>
      </w:tcPr>
    </w:tblStylePr>
    <w:tblStylePr w:type="lastRow">
      <w:rPr>
        <w:b/>
        <w:bCs/>
      </w:rPr>
      <w:tblPr/>
      <w:tcPr>
        <w:tcBorders>
          <w:top w:val="double" w:sz="2" w:space="0" w:color="FFBE5E" w:themeColor="accent2"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2D33D4"/>
    <w:rPr>
      <w:color w:val="808080"/>
    </w:rPr>
  </w:style>
  <w:style w:type="character" w:styleId="Mentionnonrsolue">
    <w:name w:val="Unresolved Mention"/>
    <w:basedOn w:val="Policepardfaut"/>
    <w:uiPriority w:val="99"/>
    <w:unhideWhenUsed/>
    <w:rsid w:val="00EA6437"/>
    <w:rPr>
      <w:color w:val="605E5C"/>
      <w:shd w:val="clear" w:color="auto" w:fill="E1DFDD"/>
    </w:rPr>
  </w:style>
  <w:style w:type="character" w:customStyle="1" w:styleId="QuestionMICar">
    <w:name w:val="Question MI Car"/>
    <w:basedOn w:val="Policepardfaut"/>
    <w:link w:val="QuestionMI"/>
    <w:locked/>
    <w:rsid w:val="007C6D98"/>
    <w:rPr>
      <w:rFonts w:ascii="Roboto" w:hAnsi="Roboto" w:cstheme="minorBidi"/>
      <w:b/>
      <w:sz w:val="21"/>
      <w:szCs w:val="22"/>
    </w:rPr>
  </w:style>
  <w:style w:type="paragraph" w:customStyle="1" w:styleId="QuestionMI">
    <w:name w:val="Question MI"/>
    <w:basedOn w:val="Normal"/>
    <w:link w:val="QuestionMICar"/>
    <w:locked/>
    <w:rsid w:val="007C6D98"/>
    <w:pPr>
      <w:numPr>
        <w:numId w:val="7"/>
      </w:numPr>
      <w:spacing w:before="120" w:after="120"/>
      <w:ind w:left="589"/>
    </w:pPr>
    <w:rPr>
      <w:rFonts w:cstheme="minorBidi"/>
      <w:b/>
      <w:szCs w:val="22"/>
    </w:rPr>
  </w:style>
  <w:style w:type="paragraph" w:styleId="Paragraphedeliste">
    <w:name w:val="List Paragraph"/>
    <w:basedOn w:val="Normal"/>
    <w:link w:val="ParagraphedelisteCar"/>
    <w:uiPriority w:val="34"/>
    <w:qFormat/>
    <w:rsid w:val="00711BCE"/>
    <w:pPr>
      <w:spacing w:before="0" w:after="120"/>
      <w:ind w:left="794"/>
      <w:jc w:val="left"/>
    </w:pPr>
    <w:rPr>
      <w:rFonts w:ascii="Helvetica" w:eastAsia="Times New Roman" w:hAnsi="Helvetica"/>
      <w:sz w:val="22"/>
      <w:szCs w:val="22"/>
      <w:lang w:eastAsia="en-US"/>
    </w:rPr>
  </w:style>
  <w:style w:type="paragraph" w:styleId="Commentaire">
    <w:name w:val="annotation text"/>
    <w:basedOn w:val="Normal"/>
    <w:link w:val="CommentaireCar"/>
    <w:uiPriority w:val="99"/>
    <w:unhideWhenUsed/>
    <w:rsid w:val="002E25C1"/>
    <w:rPr>
      <w:sz w:val="20"/>
    </w:rPr>
  </w:style>
  <w:style w:type="character" w:customStyle="1" w:styleId="CommentaireCar">
    <w:name w:val="Commentaire Car"/>
    <w:basedOn w:val="Policepardfaut"/>
    <w:link w:val="Commentaire"/>
    <w:uiPriority w:val="99"/>
    <w:rsid w:val="002E25C1"/>
    <w:rPr>
      <w:rFonts w:ascii="Roboto" w:hAnsi="Roboto"/>
    </w:rPr>
  </w:style>
  <w:style w:type="paragraph" w:customStyle="1" w:styleId="Listeavis">
    <w:name w:val="Liste (avis)"/>
    <w:basedOn w:val="Normal"/>
    <w:qFormat/>
    <w:rsid w:val="00EB73C2"/>
    <w:pPr>
      <w:numPr>
        <w:numId w:val="8"/>
      </w:numPr>
    </w:pPr>
    <w:rPr>
      <w:color w:val="000000" w:themeColor="text1"/>
    </w:rPr>
  </w:style>
  <w:style w:type="paragraph" w:customStyle="1" w:styleId="Listenumrotei">
    <w:name w:val="Liste numérotée i"/>
    <w:basedOn w:val="Normal"/>
    <w:link w:val="ListenumroteiCar"/>
    <w:rsid w:val="00000FD8"/>
    <w:pPr>
      <w:numPr>
        <w:numId w:val="9"/>
      </w:numPr>
    </w:pPr>
  </w:style>
  <w:style w:type="paragraph" w:customStyle="1" w:styleId="Question">
    <w:name w:val="Question"/>
    <w:basedOn w:val="Listenumrotei"/>
    <w:link w:val="QuestionCar"/>
    <w:qFormat/>
    <w:rsid w:val="00193D62"/>
    <w:pPr>
      <w:ind w:left="1276" w:hanging="1276"/>
    </w:pPr>
    <w:rPr>
      <w:i/>
    </w:rPr>
  </w:style>
  <w:style w:type="character" w:customStyle="1" w:styleId="ListenumroteiCar">
    <w:name w:val="Liste numérotée i Car"/>
    <w:basedOn w:val="Policepardfaut"/>
    <w:link w:val="Listenumrotei"/>
    <w:rsid w:val="00000FD8"/>
    <w:rPr>
      <w:rFonts w:ascii="Roboto" w:hAnsi="Roboto"/>
      <w:sz w:val="21"/>
    </w:rPr>
  </w:style>
  <w:style w:type="character" w:customStyle="1" w:styleId="QuestionCar">
    <w:name w:val="Question Car"/>
    <w:basedOn w:val="ListenumroteiCar"/>
    <w:link w:val="Question"/>
    <w:rsid w:val="00193D62"/>
    <w:rPr>
      <w:rFonts w:ascii="Roboto" w:hAnsi="Roboto"/>
      <w:i/>
      <w:sz w:val="21"/>
    </w:rPr>
  </w:style>
  <w:style w:type="paragraph" w:customStyle="1" w:styleId="Tableau">
    <w:name w:val="Tableau"/>
    <w:basedOn w:val="Question"/>
    <w:link w:val="TableauCar"/>
    <w:qFormat/>
    <w:rsid w:val="00C22127"/>
    <w:pPr>
      <w:numPr>
        <w:numId w:val="0"/>
      </w:numPr>
      <w:spacing w:before="0" w:after="0"/>
      <w:jc w:val="center"/>
    </w:pPr>
    <w:rPr>
      <w:bCs/>
      <w:iCs/>
    </w:rPr>
  </w:style>
  <w:style w:type="table" w:styleId="TableauGrille1Clair">
    <w:name w:val="Grid Table 1 Light"/>
    <w:basedOn w:val="TableauNormal"/>
    <w:uiPriority w:val="46"/>
    <w:locked/>
    <w:rsid w:val="00944C0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leauCar">
    <w:name w:val="Tableau Car"/>
    <w:basedOn w:val="QuestionCar"/>
    <w:link w:val="Tableau"/>
    <w:rsid w:val="00C22127"/>
    <w:rPr>
      <w:rFonts w:ascii="Roboto" w:hAnsi="Roboto"/>
      <w:bCs/>
      <w:i/>
      <w:iCs/>
      <w:sz w:val="21"/>
    </w:rPr>
  </w:style>
  <w:style w:type="paragraph" w:customStyle="1" w:styleId="Suitequestions">
    <w:name w:val="Suite questions"/>
    <w:basedOn w:val="Tableau"/>
    <w:qFormat/>
    <w:rsid w:val="00C22127"/>
    <w:pPr>
      <w:spacing w:before="240" w:after="240"/>
      <w:ind w:left="1276"/>
      <w:jc w:val="left"/>
    </w:pPr>
  </w:style>
  <w:style w:type="character" w:customStyle="1" w:styleId="markedcontent">
    <w:name w:val="markedcontent"/>
    <w:basedOn w:val="Policepardfaut"/>
    <w:rsid w:val="00FA03CB"/>
  </w:style>
  <w:style w:type="paragraph" w:customStyle="1" w:styleId="Encadr">
    <w:name w:val="Encadré"/>
    <w:basedOn w:val="Normal"/>
    <w:qFormat/>
    <w:rsid w:val="00447180"/>
    <w:pPr>
      <w:pBdr>
        <w:top w:val="single" w:sz="18" w:space="7" w:color="E7E6E6" w:themeColor="background2"/>
        <w:bottom w:val="single" w:sz="18" w:space="7" w:color="E7E6E6" w:themeColor="background2"/>
      </w:pBdr>
      <w:spacing w:before="360" w:after="360"/>
      <w:contextualSpacing/>
    </w:pPr>
    <w:rPr>
      <w:rFonts w:ascii="Roboto Bold Condensed" w:hAnsi="Roboto Bold Condensed"/>
      <w:b/>
      <w:i/>
      <w:color w:val="24356D"/>
    </w:rPr>
  </w:style>
  <w:style w:type="character" w:customStyle="1" w:styleId="normaltextrun">
    <w:name w:val="normaltextrun"/>
    <w:basedOn w:val="Policepardfaut"/>
    <w:rsid w:val="0026389C"/>
  </w:style>
  <w:style w:type="character" w:customStyle="1" w:styleId="eop">
    <w:name w:val="eop"/>
    <w:basedOn w:val="Policepardfaut"/>
    <w:rsid w:val="0026389C"/>
  </w:style>
  <w:style w:type="character" w:styleId="Rfrencelgre">
    <w:name w:val="Subtle Reference"/>
    <w:basedOn w:val="Policepardfaut"/>
    <w:uiPriority w:val="31"/>
    <w:qFormat/>
    <w:rsid w:val="0026389C"/>
    <w:rPr>
      <w:smallCaps/>
      <w:color w:val="5A5A5A" w:themeColor="text1" w:themeTint="A5"/>
    </w:rPr>
  </w:style>
  <w:style w:type="character" w:styleId="Mention">
    <w:name w:val="Mention"/>
    <w:basedOn w:val="Policepardfaut"/>
    <w:uiPriority w:val="99"/>
    <w:unhideWhenUsed/>
    <w:rsid w:val="003F0AF2"/>
    <w:rPr>
      <w:color w:val="2B579A"/>
      <w:shd w:val="clear" w:color="auto" w:fill="E1DFDD"/>
    </w:rPr>
  </w:style>
  <w:style w:type="paragraph" w:customStyle="1" w:styleId="Default">
    <w:name w:val="Default"/>
    <w:uiPriority w:val="99"/>
    <w:semiHidden/>
    <w:rsid w:val="003351AB"/>
    <w:pPr>
      <w:autoSpaceDE w:val="0"/>
      <w:autoSpaceDN w:val="0"/>
      <w:adjustRightInd w:val="0"/>
    </w:pPr>
    <w:rPr>
      <w:rFonts w:ascii="Calibri" w:hAnsi="Calibri" w:cs="Calibri"/>
      <w:color w:val="000000"/>
      <w:sz w:val="24"/>
      <w:szCs w:val="24"/>
    </w:rPr>
  </w:style>
  <w:style w:type="paragraph" w:customStyle="1" w:styleId="Conclusion">
    <w:name w:val="Conclusion"/>
    <w:basedOn w:val="Normal"/>
    <w:uiPriority w:val="8"/>
    <w:qFormat/>
    <w:rsid w:val="003351AB"/>
    <w:pPr>
      <w:spacing w:before="960" w:after="360"/>
    </w:pPr>
    <w:rPr>
      <w:rFonts w:ascii="Roboto Medium" w:hAnsi="Roboto Medium"/>
      <w:color w:val="24356D"/>
      <w:sz w:val="22"/>
    </w:rPr>
  </w:style>
  <w:style w:type="paragraph" w:styleId="Citationintense">
    <w:name w:val="Intense Quote"/>
    <w:basedOn w:val="Normal"/>
    <w:next w:val="Normal"/>
    <w:link w:val="CitationintenseCar"/>
    <w:uiPriority w:val="30"/>
    <w:qFormat/>
    <w:rsid w:val="003351AB"/>
    <w:pPr>
      <w:pBdr>
        <w:top w:val="single" w:sz="4" w:space="10" w:color="24356D"/>
        <w:bottom w:val="single" w:sz="4" w:space="10" w:color="24356D"/>
      </w:pBdr>
      <w:spacing w:before="360" w:after="360"/>
      <w:ind w:right="864"/>
      <w:jc w:val="center"/>
    </w:pPr>
    <w:rPr>
      <w:rFonts w:ascii="Roboto Light" w:hAnsi="Roboto Light"/>
      <w:i/>
      <w:iCs/>
      <w:color w:val="24356D"/>
    </w:rPr>
  </w:style>
  <w:style w:type="character" w:customStyle="1" w:styleId="CitationintenseCar">
    <w:name w:val="Citation intense Car"/>
    <w:basedOn w:val="Policepardfaut"/>
    <w:link w:val="Citationintense"/>
    <w:uiPriority w:val="30"/>
    <w:rsid w:val="003351AB"/>
    <w:rPr>
      <w:rFonts w:ascii="Roboto Light" w:hAnsi="Roboto Light"/>
      <w:i/>
      <w:iCs/>
      <w:color w:val="24356D"/>
      <w:sz w:val="21"/>
    </w:rPr>
  </w:style>
  <w:style w:type="character" w:styleId="Accentuationintense">
    <w:name w:val="Intense Emphasis"/>
    <w:basedOn w:val="Policepardfaut"/>
    <w:uiPriority w:val="21"/>
    <w:qFormat/>
    <w:rsid w:val="003351AB"/>
    <w:rPr>
      <w:rFonts w:ascii="Roboto" w:hAnsi="Roboto"/>
      <w:b/>
      <w:i w:val="0"/>
      <w:iCs/>
      <w:color w:val="24356D"/>
    </w:rPr>
  </w:style>
  <w:style w:type="character" w:styleId="Accentuation">
    <w:name w:val="Emphasis"/>
    <w:basedOn w:val="Policepardfaut"/>
    <w:uiPriority w:val="20"/>
    <w:qFormat/>
    <w:rsid w:val="003351AB"/>
    <w:rPr>
      <w:rFonts w:ascii="Roboto" w:hAnsi="Roboto"/>
      <w:i/>
      <w:iCs/>
    </w:rPr>
  </w:style>
  <w:style w:type="character" w:styleId="lev">
    <w:name w:val="Strong"/>
    <w:basedOn w:val="Policepardfaut"/>
    <w:uiPriority w:val="22"/>
    <w:qFormat/>
    <w:rsid w:val="003351AB"/>
    <w:rPr>
      <w:rFonts w:ascii="Roboto" w:hAnsi="Roboto"/>
      <w:b/>
      <w:bCs/>
    </w:rPr>
  </w:style>
  <w:style w:type="paragraph" w:styleId="Citation">
    <w:name w:val="Quote"/>
    <w:basedOn w:val="Normal"/>
    <w:next w:val="Normal"/>
    <w:link w:val="CitationCar"/>
    <w:uiPriority w:val="29"/>
    <w:qFormat/>
    <w:rsid w:val="003351AB"/>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3351AB"/>
    <w:rPr>
      <w:rFonts w:ascii="Roboto" w:hAnsi="Roboto"/>
      <w:i/>
      <w:iCs/>
      <w:color w:val="404040" w:themeColor="text1" w:themeTint="BF"/>
      <w:sz w:val="21"/>
    </w:rPr>
  </w:style>
  <w:style w:type="character" w:customStyle="1" w:styleId="ParagraphedelisteCar">
    <w:name w:val="Paragraphe de liste Car"/>
    <w:basedOn w:val="Policepardfaut"/>
    <w:link w:val="Paragraphedeliste"/>
    <w:uiPriority w:val="34"/>
    <w:locked/>
    <w:rsid w:val="003351AB"/>
    <w:rPr>
      <w:rFonts w:ascii="Helvetica" w:eastAsia="Times New Roman" w:hAnsi="Helvetica"/>
      <w:sz w:val="22"/>
      <w:szCs w:val="22"/>
      <w:lang w:eastAsia="en-US"/>
    </w:rPr>
  </w:style>
  <w:style w:type="character" w:styleId="Numrodepage">
    <w:name w:val="page number"/>
    <w:basedOn w:val="Policepardfaut"/>
    <w:uiPriority w:val="99"/>
    <w:semiHidden/>
    <w:unhideWhenUsed/>
    <w:rsid w:val="003351AB"/>
  </w:style>
  <w:style w:type="character" w:customStyle="1" w:styleId="cf01">
    <w:name w:val="cf01"/>
    <w:basedOn w:val="Policepardfaut"/>
    <w:rsid w:val="003351AB"/>
    <w:rPr>
      <w:rFonts w:ascii="Segoe UI" w:hAnsi="Segoe UI" w:cs="Segoe UI" w:hint="default"/>
      <w:sz w:val="18"/>
      <w:szCs w:val="18"/>
    </w:rPr>
  </w:style>
  <w:style w:type="character" w:customStyle="1" w:styleId="cf11">
    <w:name w:val="cf11"/>
    <w:basedOn w:val="Policepardfaut"/>
    <w:rsid w:val="003351AB"/>
    <w:rPr>
      <w:rFonts w:ascii="Segoe UI" w:hAnsi="Segoe UI" w:cs="Segoe UI" w:hint="default"/>
      <w:b/>
      <w:bCs/>
      <w:sz w:val="18"/>
      <w:szCs w:val="18"/>
      <w:u w:val="single"/>
    </w:rPr>
  </w:style>
  <w:style w:type="character" w:customStyle="1" w:styleId="LgendeCar">
    <w:name w:val="Légende Car"/>
    <w:basedOn w:val="Policepardfaut"/>
    <w:link w:val="Lgende"/>
    <w:uiPriority w:val="35"/>
    <w:rsid w:val="003351AB"/>
    <w:rPr>
      <w:rFonts w:ascii="Roboto" w:hAnsi="Roboto" w:cs="Tahoma"/>
      <w:bCs/>
      <w:i/>
      <w:color w:val="24356D" w:themeColor="text2"/>
      <w:sz w:val="16"/>
      <w:szCs w:val="18"/>
    </w:rPr>
  </w:style>
  <w:style w:type="paragraph" w:customStyle="1" w:styleId="paragraph">
    <w:name w:val="paragraph"/>
    <w:basedOn w:val="Normal"/>
    <w:rsid w:val="003351AB"/>
    <w:pPr>
      <w:spacing w:before="100" w:beforeAutospacing="1" w:after="100" w:afterAutospacing="1"/>
      <w:jc w:val="left"/>
    </w:pPr>
    <w:rPr>
      <w:rFonts w:ascii="Times New Roman" w:eastAsia="Times New Roman" w:hAnsi="Times New Roman"/>
      <w:sz w:val="24"/>
      <w:szCs w:val="24"/>
    </w:rPr>
  </w:style>
  <w:style w:type="character" w:customStyle="1" w:styleId="ui-provider">
    <w:name w:val="ui-provider"/>
    <w:basedOn w:val="Policepardfaut"/>
    <w:rsid w:val="0099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4952">
      <w:bodyDiv w:val="1"/>
      <w:marLeft w:val="0"/>
      <w:marRight w:val="0"/>
      <w:marTop w:val="0"/>
      <w:marBottom w:val="0"/>
      <w:divBdr>
        <w:top w:val="none" w:sz="0" w:space="0" w:color="auto"/>
        <w:left w:val="none" w:sz="0" w:space="0" w:color="auto"/>
        <w:bottom w:val="none" w:sz="0" w:space="0" w:color="auto"/>
        <w:right w:val="none" w:sz="0" w:space="0" w:color="auto"/>
      </w:divBdr>
    </w:div>
    <w:div w:id="174923384">
      <w:bodyDiv w:val="1"/>
      <w:marLeft w:val="0"/>
      <w:marRight w:val="0"/>
      <w:marTop w:val="0"/>
      <w:marBottom w:val="0"/>
      <w:divBdr>
        <w:top w:val="none" w:sz="0" w:space="0" w:color="auto"/>
        <w:left w:val="none" w:sz="0" w:space="0" w:color="auto"/>
        <w:bottom w:val="none" w:sz="0" w:space="0" w:color="auto"/>
        <w:right w:val="none" w:sz="0" w:space="0" w:color="auto"/>
      </w:divBdr>
    </w:div>
    <w:div w:id="203906137">
      <w:bodyDiv w:val="1"/>
      <w:marLeft w:val="0"/>
      <w:marRight w:val="0"/>
      <w:marTop w:val="0"/>
      <w:marBottom w:val="0"/>
      <w:divBdr>
        <w:top w:val="none" w:sz="0" w:space="0" w:color="auto"/>
        <w:left w:val="none" w:sz="0" w:space="0" w:color="auto"/>
        <w:bottom w:val="none" w:sz="0" w:space="0" w:color="auto"/>
        <w:right w:val="none" w:sz="0" w:space="0" w:color="auto"/>
      </w:divBdr>
    </w:div>
    <w:div w:id="205334573">
      <w:bodyDiv w:val="1"/>
      <w:marLeft w:val="0"/>
      <w:marRight w:val="0"/>
      <w:marTop w:val="0"/>
      <w:marBottom w:val="0"/>
      <w:divBdr>
        <w:top w:val="none" w:sz="0" w:space="0" w:color="auto"/>
        <w:left w:val="none" w:sz="0" w:space="0" w:color="auto"/>
        <w:bottom w:val="none" w:sz="0" w:space="0" w:color="auto"/>
        <w:right w:val="none" w:sz="0" w:space="0" w:color="auto"/>
      </w:divBdr>
    </w:div>
    <w:div w:id="209656207">
      <w:bodyDiv w:val="1"/>
      <w:marLeft w:val="0"/>
      <w:marRight w:val="0"/>
      <w:marTop w:val="0"/>
      <w:marBottom w:val="0"/>
      <w:divBdr>
        <w:top w:val="none" w:sz="0" w:space="0" w:color="auto"/>
        <w:left w:val="none" w:sz="0" w:space="0" w:color="auto"/>
        <w:bottom w:val="none" w:sz="0" w:space="0" w:color="auto"/>
        <w:right w:val="none" w:sz="0" w:space="0" w:color="auto"/>
      </w:divBdr>
    </w:div>
    <w:div w:id="215095406">
      <w:bodyDiv w:val="1"/>
      <w:marLeft w:val="0"/>
      <w:marRight w:val="0"/>
      <w:marTop w:val="0"/>
      <w:marBottom w:val="0"/>
      <w:divBdr>
        <w:top w:val="none" w:sz="0" w:space="0" w:color="auto"/>
        <w:left w:val="none" w:sz="0" w:space="0" w:color="auto"/>
        <w:bottom w:val="none" w:sz="0" w:space="0" w:color="auto"/>
        <w:right w:val="none" w:sz="0" w:space="0" w:color="auto"/>
      </w:divBdr>
    </w:div>
    <w:div w:id="216165934">
      <w:bodyDiv w:val="1"/>
      <w:marLeft w:val="0"/>
      <w:marRight w:val="0"/>
      <w:marTop w:val="0"/>
      <w:marBottom w:val="0"/>
      <w:divBdr>
        <w:top w:val="none" w:sz="0" w:space="0" w:color="auto"/>
        <w:left w:val="none" w:sz="0" w:space="0" w:color="auto"/>
        <w:bottom w:val="none" w:sz="0" w:space="0" w:color="auto"/>
        <w:right w:val="none" w:sz="0" w:space="0" w:color="auto"/>
      </w:divBdr>
    </w:div>
    <w:div w:id="248344366">
      <w:bodyDiv w:val="1"/>
      <w:marLeft w:val="0"/>
      <w:marRight w:val="0"/>
      <w:marTop w:val="0"/>
      <w:marBottom w:val="0"/>
      <w:divBdr>
        <w:top w:val="none" w:sz="0" w:space="0" w:color="auto"/>
        <w:left w:val="none" w:sz="0" w:space="0" w:color="auto"/>
        <w:bottom w:val="none" w:sz="0" w:space="0" w:color="auto"/>
        <w:right w:val="none" w:sz="0" w:space="0" w:color="auto"/>
      </w:divBdr>
    </w:div>
    <w:div w:id="254023731">
      <w:bodyDiv w:val="1"/>
      <w:marLeft w:val="0"/>
      <w:marRight w:val="0"/>
      <w:marTop w:val="0"/>
      <w:marBottom w:val="0"/>
      <w:divBdr>
        <w:top w:val="none" w:sz="0" w:space="0" w:color="auto"/>
        <w:left w:val="none" w:sz="0" w:space="0" w:color="auto"/>
        <w:bottom w:val="none" w:sz="0" w:space="0" w:color="auto"/>
        <w:right w:val="none" w:sz="0" w:space="0" w:color="auto"/>
      </w:divBdr>
    </w:div>
    <w:div w:id="357269455">
      <w:bodyDiv w:val="1"/>
      <w:marLeft w:val="0"/>
      <w:marRight w:val="0"/>
      <w:marTop w:val="0"/>
      <w:marBottom w:val="0"/>
      <w:divBdr>
        <w:top w:val="none" w:sz="0" w:space="0" w:color="auto"/>
        <w:left w:val="none" w:sz="0" w:space="0" w:color="auto"/>
        <w:bottom w:val="none" w:sz="0" w:space="0" w:color="auto"/>
        <w:right w:val="none" w:sz="0" w:space="0" w:color="auto"/>
      </w:divBdr>
    </w:div>
    <w:div w:id="417755957">
      <w:bodyDiv w:val="1"/>
      <w:marLeft w:val="0"/>
      <w:marRight w:val="0"/>
      <w:marTop w:val="0"/>
      <w:marBottom w:val="0"/>
      <w:divBdr>
        <w:top w:val="none" w:sz="0" w:space="0" w:color="auto"/>
        <w:left w:val="none" w:sz="0" w:space="0" w:color="auto"/>
        <w:bottom w:val="none" w:sz="0" w:space="0" w:color="auto"/>
        <w:right w:val="none" w:sz="0" w:space="0" w:color="auto"/>
      </w:divBdr>
    </w:div>
    <w:div w:id="440026739">
      <w:bodyDiv w:val="1"/>
      <w:marLeft w:val="0"/>
      <w:marRight w:val="0"/>
      <w:marTop w:val="0"/>
      <w:marBottom w:val="0"/>
      <w:divBdr>
        <w:top w:val="none" w:sz="0" w:space="0" w:color="auto"/>
        <w:left w:val="none" w:sz="0" w:space="0" w:color="auto"/>
        <w:bottom w:val="none" w:sz="0" w:space="0" w:color="auto"/>
        <w:right w:val="none" w:sz="0" w:space="0" w:color="auto"/>
      </w:divBdr>
    </w:div>
    <w:div w:id="517014124">
      <w:bodyDiv w:val="1"/>
      <w:marLeft w:val="0"/>
      <w:marRight w:val="0"/>
      <w:marTop w:val="0"/>
      <w:marBottom w:val="0"/>
      <w:divBdr>
        <w:top w:val="none" w:sz="0" w:space="0" w:color="auto"/>
        <w:left w:val="none" w:sz="0" w:space="0" w:color="auto"/>
        <w:bottom w:val="none" w:sz="0" w:space="0" w:color="auto"/>
        <w:right w:val="none" w:sz="0" w:space="0" w:color="auto"/>
      </w:divBdr>
      <w:divsChild>
        <w:div w:id="579486929">
          <w:marLeft w:val="0"/>
          <w:marRight w:val="0"/>
          <w:marTop w:val="0"/>
          <w:marBottom w:val="0"/>
          <w:divBdr>
            <w:top w:val="none" w:sz="0" w:space="0" w:color="auto"/>
            <w:left w:val="none" w:sz="0" w:space="0" w:color="auto"/>
            <w:bottom w:val="none" w:sz="0" w:space="0" w:color="auto"/>
            <w:right w:val="none" w:sz="0" w:space="0" w:color="auto"/>
          </w:divBdr>
          <w:divsChild>
            <w:div w:id="1646661617">
              <w:marLeft w:val="0"/>
              <w:marRight w:val="0"/>
              <w:marTop w:val="0"/>
              <w:marBottom w:val="0"/>
              <w:divBdr>
                <w:top w:val="none" w:sz="0" w:space="0" w:color="auto"/>
                <w:left w:val="none" w:sz="0" w:space="0" w:color="auto"/>
                <w:bottom w:val="none" w:sz="0" w:space="0" w:color="auto"/>
                <w:right w:val="none" w:sz="0" w:space="0" w:color="auto"/>
              </w:divBdr>
              <w:divsChild>
                <w:div w:id="1003819328">
                  <w:marLeft w:val="0"/>
                  <w:marRight w:val="0"/>
                  <w:marTop w:val="0"/>
                  <w:marBottom w:val="0"/>
                  <w:divBdr>
                    <w:top w:val="none" w:sz="0" w:space="0" w:color="auto"/>
                    <w:left w:val="none" w:sz="0" w:space="0" w:color="auto"/>
                    <w:bottom w:val="none" w:sz="0" w:space="0" w:color="auto"/>
                    <w:right w:val="none" w:sz="0" w:space="0" w:color="auto"/>
                  </w:divBdr>
                  <w:divsChild>
                    <w:div w:id="679239608">
                      <w:marLeft w:val="0"/>
                      <w:marRight w:val="0"/>
                      <w:marTop w:val="0"/>
                      <w:marBottom w:val="0"/>
                      <w:divBdr>
                        <w:top w:val="none" w:sz="0" w:space="0" w:color="auto"/>
                        <w:left w:val="none" w:sz="0" w:space="0" w:color="auto"/>
                        <w:bottom w:val="none" w:sz="0" w:space="0" w:color="auto"/>
                        <w:right w:val="none" w:sz="0" w:space="0" w:color="auto"/>
                      </w:divBdr>
                    </w:div>
                    <w:div w:id="14724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8572">
          <w:marLeft w:val="0"/>
          <w:marRight w:val="0"/>
          <w:marTop w:val="0"/>
          <w:marBottom w:val="0"/>
          <w:divBdr>
            <w:top w:val="none" w:sz="0" w:space="0" w:color="auto"/>
            <w:left w:val="none" w:sz="0" w:space="0" w:color="auto"/>
            <w:bottom w:val="none" w:sz="0" w:space="0" w:color="auto"/>
            <w:right w:val="none" w:sz="0" w:space="0" w:color="auto"/>
          </w:divBdr>
          <w:divsChild>
            <w:div w:id="1650554120">
              <w:marLeft w:val="0"/>
              <w:marRight w:val="0"/>
              <w:marTop w:val="0"/>
              <w:marBottom w:val="0"/>
              <w:divBdr>
                <w:top w:val="none" w:sz="0" w:space="0" w:color="auto"/>
                <w:left w:val="none" w:sz="0" w:space="0" w:color="auto"/>
                <w:bottom w:val="none" w:sz="0" w:space="0" w:color="auto"/>
                <w:right w:val="none" w:sz="0" w:space="0" w:color="auto"/>
              </w:divBdr>
              <w:divsChild>
                <w:div w:id="133065197">
                  <w:marLeft w:val="0"/>
                  <w:marRight w:val="0"/>
                  <w:marTop w:val="0"/>
                  <w:marBottom w:val="0"/>
                  <w:divBdr>
                    <w:top w:val="none" w:sz="0" w:space="0" w:color="auto"/>
                    <w:left w:val="none" w:sz="0" w:space="0" w:color="auto"/>
                    <w:bottom w:val="none" w:sz="0" w:space="0" w:color="auto"/>
                    <w:right w:val="none" w:sz="0" w:space="0" w:color="auto"/>
                  </w:divBdr>
                  <w:divsChild>
                    <w:div w:id="816337772">
                      <w:marLeft w:val="0"/>
                      <w:marRight w:val="0"/>
                      <w:marTop w:val="0"/>
                      <w:marBottom w:val="0"/>
                      <w:divBdr>
                        <w:top w:val="none" w:sz="0" w:space="0" w:color="auto"/>
                        <w:left w:val="none" w:sz="0" w:space="0" w:color="auto"/>
                        <w:bottom w:val="none" w:sz="0" w:space="0" w:color="auto"/>
                        <w:right w:val="none" w:sz="0" w:space="0" w:color="auto"/>
                      </w:divBdr>
                    </w:div>
                    <w:div w:id="18925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90048">
          <w:marLeft w:val="0"/>
          <w:marRight w:val="0"/>
          <w:marTop w:val="0"/>
          <w:marBottom w:val="0"/>
          <w:divBdr>
            <w:top w:val="none" w:sz="0" w:space="0" w:color="auto"/>
            <w:left w:val="none" w:sz="0" w:space="0" w:color="auto"/>
            <w:bottom w:val="none" w:sz="0" w:space="0" w:color="auto"/>
            <w:right w:val="none" w:sz="0" w:space="0" w:color="auto"/>
          </w:divBdr>
          <w:divsChild>
            <w:div w:id="139158892">
              <w:marLeft w:val="0"/>
              <w:marRight w:val="0"/>
              <w:marTop w:val="0"/>
              <w:marBottom w:val="0"/>
              <w:divBdr>
                <w:top w:val="none" w:sz="0" w:space="0" w:color="auto"/>
                <w:left w:val="none" w:sz="0" w:space="0" w:color="auto"/>
                <w:bottom w:val="none" w:sz="0" w:space="0" w:color="auto"/>
                <w:right w:val="none" w:sz="0" w:space="0" w:color="auto"/>
              </w:divBdr>
              <w:divsChild>
                <w:div w:id="1586572461">
                  <w:marLeft w:val="0"/>
                  <w:marRight w:val="0"/>
                  <w:marTop w:val="0"/>
                  <w:marBottom w:val="0"/>
                  <w:divBdr>
                    <w:top w:val="none" w:sz="0" w:space="0" w:color="auto"/>
                    <w:left w:val="none" w:sz="0" w:space="0" w:color="auto"/>
                    <w:bottom w:val="none" w:sz="0" w:space="0" w:color="auto"/>
                    <w:right w:val="none" w:sz="0" w:space="0" w:color="auto"/>
                  </w:divBdr>
                  <w:divsChild>
                    <w:div w:id="15656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6769">
      <w:bodyDiv w:val="1"/>
      <w:marLeft w:val="0"/>
      <w:marRight w:val="0"/>
      <w:marTop w:val="0"/>
      <w:marBottom w:val="0"/>
      <w:divBdr>
        <w:top w:val="none" w:sz="0" w:space="0" w:color="auto"/>
        <w:left w:val="none" w:sz="0" w:space="0" w:color="auto"/>
        <w:bottom w:val="none" w:sz="0" w:space="0" w:color="auto"/>
        <w:right w:val="none" w:sz="0" w:space="0" w:color="auto"/>
      </w:divBdr>
    </w:div>
    <w:div w:id="563179378">
      <w:bodyDiv w:val="1"/>
      <w:marLeft w:val="0"/>
      <w:marRight w:val="0"/>
      <w:marTop w:val="0"/>
      <w:marBottom w:val="0"/>
      <w:divBdr>
        <w:top w:val="none" w:sz="0" w:space="0" w:color="auto"/>
        <w:left w:val="none" w:sz="0" w:space="0" w:color="auto"/>
        <w:bottom w:val="none" w:sz="0" w:space="0" w:color="auto"/>
        <w:right w:val="none" w:sz="0" w:space="0" w:color="auto"/>
      </w:divBdr>
    </w:div>
    <w:div w:id="572356479">
      <w:bodyDiv w:val="1"/>
      <w:marLeft w:val="0"/>
      <w:marRight w:val="0"/>
      <w:marTop w:val="0"/>
      <w:marBottom w:val="0"/>
      <w:divBdr>
        <w:top w:val="none" w:sz="0" w:space="0" w:color="auto"/>
        <w:left w:val="none" w:sz="0" w:space="0" w:color="auto"/>
        <w:bottom w:val="none" w:sz="0" w:space="0" w:color="auto"/>
        <w:right w:val="none" w:sz="0" w:space="0" w:color="auto"/>
      </w:divBdr>
    </w:div>
    <w:div w:id="574366338">
      <w:bodyDiv w:val="1"/>
      <w:marLeft w:val="0"/>
      <w:marRight w:val="0"/>
      <w:marTop w:val="0"/>
      <w:marBottom w:val="0"/>
      <w:divBdr>
        <w:top w:val="none" w:sz="0" w:space="0" w:color="auto"/>
        <w:left w:val="none" w:sz="0" w:space="0" w:color="auto"/>
        <w:bottom w:val="none" w:sz="0" w:space="0" w:color="auto"/>
        <w:right w:val="none" w:sz="0" w:space="0" w:color="auto"/>
      </w:divBdr>
    </w:div>
    <w:div w:id="579221750">
      <w:bodyDiv w:val="1"/>
      <w:marLeft w:val="0"/>
      <w:marRight w:val="0"/>
      <w:marTop w:val="0"/>
      <w:marBottom w:val="0"/>
      <w:divBdr>
        <w:top w:val="none" w:sz="0" w:space="0" w:color="auto"/>
        <w:left w:val="none" w:sz="0" w:space="0" w:color="auto"/>
        <w:bottom w:val="none" w:sz="0" w:space="0" w:color="auto"/>
        <w:right w:val="none" w:sz="0" w:space="0" w:color="auto"/>
      </w:divBdr>
    </w:div>
    <w:div w:id="675309805">
      <w:bodyDiv w:val="1"/>
      <w:marLeft w:val="0"/>
      <w:marRight w:val="0"/>
      <w:marTop w:val="0"/>
      <w:marBottom w:val="0"/>
      <w:divBdr>
        <w:top w:val="none" w:sz="0" w:space="0" w:color="auto"/>
        <w:left w:val="none" w:sz="0" w:space="0" w:color="auto"/>
        <w:bottom w:val="none" w:sz="0" w:space="0" w:color="auto"/>
        <w:right w:val="none" w:sz="0" w:space="0" w:color="auto"/>
      </w:divBdr>
    </w:div>
    <w:div w:id="676924604">
      <w:bodyDiv w:val="1"/>
      <w:marLeft w:val="0"/>
      <w:marRight w:val="0"/>
      <w:marTop w:val="0"/>
      <w:marBottom w:val="0"/>
      <w:divBdr>
        <w:top w:val="none" w:sz="0" w:space="0" w:color="auto"/>
        <w:left w:val="none" w:sz="0" w:space="0" w:color="auto"/>
        <w:bottom w:val="none" w:sz="0" w:space="0" w:color="auto"/>
        <w:right w:val="none" w:sz="0" w:space="0" w:color="auto"/>
      </w:divBdr>
      <w:divsChild>
        <w:div w:id="653022573">
          <w:marLeft w:val="0"/>
          <w:marRight w:val="0"/>
          <w:marTop w:val="0"/>
          <w:marBottom w:val="0"/>
          <w:divBdr>
            <w:top w:val="none" w:sz="0" w:space="0" w:color="auto"/>
            <w:left w:val="none" w:sz="0" w:space="0" w:color="auto"/>
            <w:bottom w:val="none" w:sz="0" w:space="0" w:color="auto"/>
            <w:right w:val="none" w:sz="0" w:space="0" w:color="auto"/>
          </w:divBdr>
        </w:div>
        <w:div w:id="1436974840">
          <w:marLeft w:val="0"/>
          <w:marRight w:val="0"/>
          <w:marTop w:val="0"/>
          <w:marBottom w:val="0"/>
          <w:divBdr>
            <w:top w:val="none" w:sz="0" w:space="0" w:color="auto"/>
            <w:left w:val="none" w:sz="0" w:space="0" w:color="auto"/>
            <w:bottom w:val="none" w:sz="0" w:space="0" w:color="auto"/>
            <w:right w:val="none" w:sz="0" w:space="0" w:color="auto"/>
          </w:divBdr>
        </w:div>
      </w:divsChild>
    </w:div>
    <w:div w:id="679937265">
      <w:bodyDiv w:val="1"/>
      <w:marLeft w:val="0"/>
      <w:marRight w:val="0"/>
      <w:marTop w:val="0"/>
      <w:marBottom w:val="0"/>
      <w:divBdr>
        <w:top w:val="none" w:sz="0" w:space="0" w:color="auto"/>
        <w:left w:val="none" w:sz="0" w:space="0" w:color="auto"/>
        <w:bottom w:val="none" w:sz="0" w:space="0" w:color="auto"/>
        <w:right w:val="none" w:sz="0" w:space="0" w:color="auto"/>
      </w:divBdr>
    </w:div>
    <w:div w:id="685522489">
      <w:bodyDiv w:val="1"/>
      <w:marLeft w:val="0"/>
      <w:marRight w:val="0"/>
      <w:marTop w:val="0"/>
      <w:marBottom w:val="0"/>
      <w:divBdr>
        <w:top w:val="none" w:sz="0" w:space="0" w:color="auto"/>
        <w:left w:val="none" w:sz="0" w:space="0" w:color="auto"/>
        <w:bottom w:val="none" w:sz="0" w:space="0" w:color="auto"/>
        <w:right w:val="none" w:sz="0" w:space="0" w:color="auto"/>
      </w:divBdr>
    </w:div>
    <w:div w:id="688870614">
      <w:bodyDiv w:val="1"/>
      <w:marLeft w:val="0"/>
      <w:marRight w:val="0"/>
      <w:marTop w:val="0"/>
      <w:marBottom w:val="0"/>
      <w:divBdr>
        <w:top w:val="none" w:sz="0" w:space="0" w:color="auto"/>
        <w:left w:val="none" w:sz="0" w:space="0" w:color="auto"/>
        <w:bottom w:val="none" w:sz="0" w:space="0" w:color="auto"/>
        <w:right w:val="none" w:sz="0" w:space="0" w:color="auto"/>
      </w:divBdr>
    </w:div>
    <w:div w:id="733505916">
      <w:bodyDiv w:val="1"/>
      <w:marLeft w:val="0"/>
      <w:marRight w:val="0"/>
      <w:marTop w:val="0"/>
      <w:marBottom w:val="0"/>
      <w:divBdr>
        <w:top w:val="none" w:sz="0" w:space="0" w:color="auto"/>
        <w:left w:val="none" w:sz="0" w:space="0" w:color="auto"/>
        <w:bottom w:val="none" w:sz="0" w:space="0" w:color="auto"/>
        <w:right w:val="none" w:sz="0" w:space="0" w:color="auto"/>
      </w:divBdr>
    </w:div>
    <w:div w:id="739716431">
      <w:bodyDiv w:val="1"/>
      <w:marLeft w:val="0"/>
      <w:marRight w:val="0"/>
      <w:marTop w:val="0"/>
      <w:marBottom w:val="0"/>
      <w:divBdr>
        <w:top w:val="none" w:sz="0" w:space="0" w:color="auto"/>
        <w:left w:val="none" w:sz="0" w:space="0" w:color="auto"/>
        <w:bottom w:val="none" w:sz="0" w:space="0" w:color="auto"/>
        <w:right w:val="none" w:sz="0" w:space="0" w:color="auto"/>
      </w:divBdr>
    </w:div>
    <w:div w:id="769473075">
      <w:bodyDiv w:val="1"/>
      <w:marLeft w:val="0"/>
      <w:marRight w:val="0"/>
      <w:marTop w:val="0"/>
      <w:marBottom w:val="0"/>
      <w:divBdr>
        <w:top w:val="none" w:sz="0" w:space="0" w:color="auto"/>
        <w:left w:val="none" w:sz="0" w:space="0" w:color="auto"/>
        <w:bottom w:val="none" w:sz="0" w:space="0" w:color="auto"/>
        <w:right w:val="none" w:sz="0" w:space="0" w:color="auto"/>
      </w:divBdr>
    </w:div>
    <w:div w:id="770513956">
      <w:bodyDiv w:val="1"/>
      <w:marLeft w:val="0"/>
      <w:marRight w:val="0"/>
      <w:marTop w:val="0"/>
      <w:marBottom w:val="0"/>
      <w:divBdr>
        <w:top w:val="none" w:sz="0" w:space="0" w:color="auto"/>
        <w:left w:val="none" w:sz="0" w:space="0" w:color="auto"/>
        <w:bottom w:val="none" w:sz="0" w:space="0" w:color="auto"/>
        <w:right w:val="none" w:sz="0" w:space="0" w:color="auto"/>
      </w:divBdr>
    </w:div>
    <w:div w:id="801462492">
      <w:bodyDiv w:val="1"/>
      <w:marLeft w:val="0"/>
      <w:marRight w:val="0"/>
      <w:marTop w:val="0"/>
      <w:marBottom w:val="0"/>
      <w:divBdr>
        <w:top w:val="none" w:sz="0" w:space="0" w:color="auto"/>
        <w:left w:val="none" w:sz="0" w:space="0" w:color="auto"/>
        <w:bottom w:val="none" w:sz="0" w:space="0" w:color="auto"/>
        <w:right w:val="none" w:sz="0" w:space="0" w:color="auto"/>
      </w:divBdr>
    </w:div>
    <w:div w:id="818687723">
      <w:bodyDiv w:val="1"/>
      <w:marLeft w:val="0"/>
      <w:marRight w:val="0"/>
      <w:marTop w:val="0"/>
      <w:marBottom w:val="0"/>
      <w:divBdr>
        <w:top w:val="none" w:sz="0" w:space="0" w:color="auto"/>
        <w:left w:val="none" w:sz="0" w:space="0" w:color="auto"/>
        <w:bottom w:val="none" w:sz="0" w:space="0" w:color="auto"/>
        <w:right w:val="none" w:sz="0" w:space="0" w:color="auto"/>
      </w:divBdr>
    </w:div>
    <w:div w:id="821892179">
      <w:bodyDiv w:val="1"/>
      <w:marLeft w:val="0"/>
      <w:marRight w:val="0"/>
      <w:marTop w:val="0"/>
      <w:marBottom w:val="0"/>
      <w:divBdr>
        <w:top w:val="none" w:sz="0" w:space="0" w:color="auto"/>
        <w:left w:val="none" w:sz="0" w:space="0" w:color="auto"/>
        <w:bottom w:val="none" w:sz="0" w:space="0" w:color="auto"/>
        <w:right w:val="none" w:sz="0" w:space="0" w:color="auto"/>
      </w:divBdr>
    </w:div>
    <w:div w:id="852720682">
      <w:bodyDiv w:val="1"/>
      <w:marLeft w:val="0"/>
      <w:marRight w:val="0"/>
      <w:marTop w:val="0"/>
      <w:marBottom w:val="0"/>
      <w:divBdr>
        <w:top w:val="none" w:sz="0" w:space="0" w:color="auto"/>
        <w:left w:val="none" w:sz="0" w:space="0" w:color="auto"/>
        <w:bottom w:val="none" w:sz="0" w:space="0" w:color="auto"/>
        <w:right w:val="none" w:sz="0" w:space="0" w:color="auto"/>
      </w:divBdr>
    </w:div>
    <w:div w:id="910845429">
      <w:bodyDiv w:val="1"/>
      <w:marLeft w:val="0"/>
      <w:marRight w:val="0"/>
      <w:marTop w:val="0"/>
      <w:marBottom w:val="0"/>
      <w:divBdr>
        <w:top w:val="none" w:sz="0" w:space="0" w:color="auto"/>
        <w:left w:val="none" w:sz="0" w:space="0" w:color="auto"/>
        <w:bottom w:val="none" w:sz="0" w:space="0" w:color="auto"/>
        <w:right w:val="none" w:sz="0" w:space="0" w:color="auto"/>
      </w:divBdr>
      <w:divsChild>
        <w:div w:id="322901091">
          <w:marLeft w:val="274"/>
          <w:marRight w:val="0"/>
          <w:marTop w:val="148"/>
          <w:marBottom w:val="0"/>
          <w:divBdr>
            <w:top w:val="none" w:sz="0" w:space="0" w:color="auto"/>
            <w:left w:val="none" w:sz="0" w:space="0" w:color="auto"/>
            <w:bottom w:val="none" w:sz="0" w:space="0" w:color="auto"/>
            <w:right w:val="none" w:sz="0" w:space="0" w:color="auto"/>
          </w:divBdr>
        </w:div>
        <w:div w:id="439301797">
          <w:marLeft w:val="274"/>
          <w:marRight w:val="0"/>
          <w:marTop w:val="148"/>
          <w:marBottom w:val="0"/>
          <w:divBdr>
            <w:top w:val="none" w:sz="0" w:space="0" w:color="auto"/>
            <w:left w:val="none" w:sz="0" w:space="0" w:color="auto"/>
            <w:bottom w:val="none" w:sz="0" w:space="0" w:color="auto"/>
            <w:right w:val="none" w:sz="0" w:space="0" w:color="auto"/>
          </w:divBdr>
        </w:div>
        <w:div w:id="1174296587">
          <w:marLeft w:val="274"/>
          <w:marRight w:val="0"/>
          <w:marTop w:val="148"/>
          <w:marBottom w:val="0"/>
          <w:divBdr>
            <w:top w:val="none" w:sz="0" w:space="0" w:color="auto"/>
            <w:left w:val="none" w:sz="0" w:space="0" w:color="auto"/>
            <w:bottom w:val="none" w:sz="0" w:space="0" w:color="auto"/>
            <w:right w:val="none" w:sz="0" w:space="0" w:color="auto"/>
          </w:divBdr>
        </w:div>
      </w:divsChild>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7180">
      <w:bodyDiv w:val="1"/>
      <w:marLeft w:val="0"/>
      <w:marRight w:val="0"/>
      <w:marTop w:val="0"/>
      <w:marBottom w:val="0"/>
      <w:divBdr>
        <w:top w:val="none" w:sz="0" w:space="0" w:color="auto"/>
        <w:left w:val="none" w:sz="0" w:space="0" w:color="auto"/>
        <w:bottom w:val="none" w:sz="0" w:space="0" w:color="auto"/>
        <w:right w:val="none" w:sz="0" w:space="0" w:color="auto"/>
      </w:divBdr>
    </w:div>
    <w:div w:id="1095706825">
      <w:bodyDiv w:val="1"/>
      <w:marLeft w:val="0"/>
      <w:marRight w:val="0"/>
      <w:marTop w:val="0"/>
      <w:marBottom w:val="0"/>
      <w:divBdr>
        <w:top w:val="none" w:sz="0" w:space="0" w:color="auto"/>
        <w:left w:val="none" w:sz="0" w:space="0" w:color="auto"/>
        <w:bottom w:val="none" w:sz="0" w:space="0" w:color="auto"/>
        <w:right w:val="none" w:sz="0" w:space="0" w:color="auto"/>
      </w:divBdr>
    </w:div>
    <w:div w:id="1104837170">
      <w:bodyDiv w:val="1"/>
      <w:marLeft w:val="0"/>
      <w:marRight w:val="0"/>
      <w:marTop w:val="0"/>
      <w:marBottom w:val="0"/>
      <w:divBdr>
        <w:top w:val="none" w:sz="0" w:space="0" w:color="auto"/>
        <w:left w:val="none" w:sz="0" w:space="0" w:color="auto"/>
        <w:bottom w:val="none" w:sz="0" w:space="0" w:color="auto"/>
        <w:right w:val="none" w:sz="0" w:space="0" w:color="auto"/>
      </w:divBdr>
    </w:div>
    <w:div w:id="1133062019">
      <w:bodyDiv w:val="1"/>
      <w:marLeft w:val="0"/>
      <w:marRight w:val="0"/>
      <w:marTop w:val="0"/>
      <w:marBottom w:val="0"/>
      <w:divBdr>
        <w:top w:val="none" w:sz="0" w:space="0" w:color="auto"/>
        <w:left w:val="none" w:sz="0" w:space="0" w:color="auto"/>
        <w:bottom w:val="none" w:sz="0" w:space="0" w:color="auto"/>
        <w:right w:val="none" w:sz="0" w:space="0" w:color="auto"/>
      </w:divBdr>
    </w:div>
    <w:div w:id="1181578296">
      <w:bodyDiv w:val="1"/>
      <w:marLeft w:val="0"/>
      <w:marRight w:val="0"/>
      <w:marTop w:val="0"/>
      <w:marBottom w:val="0"/>
      <w:divBdr>
        <w:top w:val="none" w:sz="0" w:space="0" w:color="auto"/>
        <w:left w:val="none" w:sz="0" w:space="0" w:color="auto"/>
        <w:bottom w:val="none" w:sz="0" w:space="0" w:color="auto"/>
        <w:right w:val="none" w:sz="0" w:space="0" w:color="auto"/>
      </w:divBdr>
    </w:div>
    <w:div w:id="1185249767">
      <w:bodyDiv w:val="1"/>
      <w:marLeft w:val="0"/>
      <w:marRight w:val="0"/>
      <w:marTop w:val="0"/>
      <w:marBottom w:val="0"/>
      <w:divBdr>
        <w:top w:val="none" w:sz="0" w:space="0" w:color="auto"/>
        <w:left w:val="none" w:sz="0" w:space="0" w:color="auto"/>
        <w:bottom w:val="none" w:sz="0" w:space="0" w:color="auto"/>
        <w:right w:val="none" w:sz="0" w:space="0" w:color="auto"/>
      </w:divBdr>
    </w:div>
    <w:div w:id="1210805858">
      <w:bodyDiv w:val="1"/>
      <w:marLeft w:val="0"/>
      <w:marRight w:val="0"/>
      <w:marTop w:val="0"/>
      <w:marBottom w:val="0"/>
      <w:divBdr>
        <w:top w:val="none" w:sz="0" w:space="0" w:color="auto"/>
        <w:left w:val="none" w:sz="0" w:space="0" w:color="auto"/>
        <w:bottom w:val="none" w:sz="0" w:space="0" w:color="auto"/>
        <w:right w:val="none" w:sz="0" w:space="0" w:color="auto"/>
      </w:divBdr>
    </w:div>
    <w:div w:id="1222250558">
      <w:bodyDiv w:val="1"/>
      <w:marLeft w:val="0"/>
      <w:marRight w:val="0"/>
      <w:marTop w:val="0"/>
      <w:marBottom w:val="0"/>
      <w:divBdr>
        <w:top w:val="none" w:sz="0" w:space="0" w:color="auto"/>
        <w:left w:val="none" w:sz="0" w:space="0" w:color="auto"/>
        <w:bottom w:val="none" w:sz="0" w:space="0" w:color="auto"/>
        <w:right w:val="none" w:sz="0" w:space="0" w:color="auto"/>
      </w:divBdr>
    </w:div>
    <w:div w:id="1233731833">
      <w:bodyDiv w:val="1"/>
      <w:marLeft w:val="0"/>
      <w:marRight w:val="0"/>
      <w:marTop w:val="0"/>
      <w:marBottom w:val="0"/>
      <w:divBdr>
        <w:top w:val="none" w:sz="0" w:space="0" w:color="auto"/>
        <w:left w:val="none" w:sz="0" w:space="0" w:color="auto"/>
        <w:bottom w:val="none" w:sz="0" w:space="0" w:color="auto"/>
        <w:right w:val="none" w:sz="0" w:space="0" w:color="auto"/>
      </w:divBdr>
    </w:div>
    <w:div w:id="1260993284">
      <w:bodyDiv w:val="1"/>
      <w:marLeft w:val="0"/>
      <w:marRight w:val="0"/>
      <w:marTop w:val="0"/>
      <w:marBottom w:val="0"/>
      <w:divBdr>
        <w:top w:val="none" w:sz="0" w:space="0" w:color="auto"/>
        <w:left w:val="none" w:sz="0" w:space="0" w:color="auto"/>
        <w:bottom w:val="none" w:sz="0" w:space="0" w:color="auto"/>
        <w:right w:val="none" w:sz="0" w:space="0" w:color="auto"/>
      </w:divBdr>
    </w:div>
    <w:div w:id="1272518295">
      <w:bodyDiv w:val="1"/>
      <w:marLeft w:val="0"/>
      <w:marRight w:val="0"/>
      <w:marTop w:val="0"/>
      <w:marBottom w:val="0"/>
      <w:divBdr>
        <w:top w:val="none" w:sz="0" w:space="0" w:color="auto"/>
        <w:left w:val="none" w:sz="0" w:space="0" w:color="auto"/>
        <w:bottom w:val="none" w:sz="0" w:space="0" w:color="auto"/>
        <w:right w:val="none" w:sz="0" w:space="0" w:color="auto"/>
      </w:divBdr>
    </w:div>
    <w:div w:id="1276862396">
      <w:bodyDiv w:val="1"/>
      <w:marLeft w:val="0"/>
      <w:marRight w:val="0"/>
      <w:marTop w:val="0"/>
      <w:marBottom w:val="0"/>
      <w:divBdr>
        <w:top w:val="none" w:sz="0" w:space="0" w:color="auto"/>
        <w:left w:val="none" w:sz="0" w:space="0" w:color="auto"/>
        <w:bottom w:val="none" w:sz="0" w:space="0" w:color="auto"/>
        <w:right w:val="none" w:sz="0" w:space="0" w:color="auto"/>
      </w:divBdr>
    </w:div>
    <w:div w:id="1391266247">
      <w:bodyDiv w:val="1"/>
      <w:marLeft w:val="0"/>
      <w:marRight w:val="0"/>
      <w:marTop w:val="0"/>
      <w:marBottom w:val="0"/>
      <w:divBdr>
        <w:top w:val="none" w:sz="0" w:space="0" w:color="auto"/>
        <w:left w:val="none" w:sz="0" w:space="0" w:color="auto"/>
        <w:bottom w:val="none" w:sz="0" w:space="0" w:color="auto"/>
        <w:right w:val="none" w:sz="0" w:space="0" w:color="auto"/>
      </w:divBdr>
    </w:div>
    <w:div w:id="1434015763">
      <w:bodyDiv w:val="1"/>
      <w:marLeft w:val="0"/>
      <w:marRight w:val="0"/>
      <w:marTop w:val="0"/>
      <w:marBottom w:val="0"/>
      <w:divBdr>
        <w:top w:val="none" w:sz="0" w:space="0" w:color="auto"/>
        <w:left w:val="none" w:sz="0" w:space="0" w:color="auto"/>
        <w:bottom w:val="none" w:sz="0" w:space="0" w:color="auto"/>
        <w:right w:val="none" w:sz="0" w:space="0" w:color="auto"/>
      </w:divBdr>
    </w:div>
    <w:div w:id="1513061203">
      <w:bodyDiv w:val="1"/>
      <w:marLeft w:val="0"/>
      <w:marRight w:val="0"/>
      <w:marTop w:val="0"/>
      <w:marBottom w:val="0"/>
      <w:divBdr>
        <w:top w:val="none" w:sz="0" w:space="0" w:color="auto"/>
        <w:left w:val="none" w:sz="0" w:space="0" w:color="auto"/>
        <w:bottom w:val="none" w:sz="0" w:space="0" w:color="auto"/>
        <w:right w:val="none" w:sz="0" w:space="0" w:color="auto"/>
      </w:divBdr>
    </w:div>
    <w:div w:id="1558395225">
      <w:bodyDiv w:val="1"/>
      <w:marLeft w:val="0"/>
      <w:marRight w:val="0"/>
      <w:marTop w:val="0"/>
      <w:marBottom w:val="0"/>
      <w:divBdr>
        <w:top w:val="none" w:sz="0" w:space="0" w:color="auto"/>
        <w:left w:val="none" w:sz="0" w:space="0" w:color="auto"/>
        <w:bottom w:val="none" w:sz="0" w:space="0" w:color="auto"/>
        <w:right w:val="none" w:sz="0" w:space="0" w:color="auto"/>
      </w:divBdr>
    </w:div>
    <w:div w:id="1696350852">
      <w:bodyDiv w:val="1"/>
      <w:marLeft w:val="0"/>
      <w:marRight w:val="0"/>
      <w:marTop w:val="0"/>
      <w:marBottom w:val="0"/>
      <w:divBdr>
        <w:top w:val="none" w:sz="0" w:space="0" w:color="auto"/>
        <w:left w:val="none" w:sz="0" w:space="0" w:color="auto"/>
        <w:bottom w:val="none" w:sz="0" w:space="0" w:color="auto"/>
        <w:right w:val="none" w:sz="0" w:space="0" w:color="auto"/>
      </w:divBdr>
    </w:div>
    <w:div w:id="1706563794">
      <w:bodyDiv w:val="1"/>
      <w:marLeft w:val="0"/>
      <w:marRight w:val="0"/>
      <w:marTop w:val="0"/>
      <w:marBottom w:val="0"/>
      <w:divBdr>
        <w:top w:val="none" w:sz="0" w:space="0" w:color="auto"/>
        <w:left w:val="none" w:sz="0" w:space="0" w:color="auto"/>
        <w:bottom w:val="none" w:sz="0" w:space="0" w:color="auto"/>
        <w:right w:val="none" w:sz="0" w:space="0" w:color="auto"/>
      </w:divBdr>
    </w:div>
    <w:div w:id="1708018176">
      <w:bodyDiv w:val="1"/>
      <w:marLeft w:val="0"/>
      <w:marRight w:val="0"/>
      <w:marTop w:val="0"/>
      <w:marBottom w:val="0"/>
      <w:divBdr>
        <w:top w:val="none" w:sz="0" w:space="0" w:color="auto"/>
        <w:left w:val="none" w:sz="0" w:space="0" w:color="auto"/>
        <w:bottom w:val="none" w:sz="0" w:space="0" w:color="auto"/>
        <w:right w:val="none" w:sz="0" w:space="0" w:color="auto"/>
      </w:divBdr>
    </w:div>
    <w:div w:id="1724331648">
      <w:bodyDiv w:val="1"/>
      <w:marLeft w:val="0"/>
      <w:marRight w:val="0"/>
      <w:marTop w:val="0"/>
      <w:marBottom w:val="0"/>
      <w:divBdr>
        <w:top w:val="none" w:sz="0" w:space="0" w:color="auto"/>
        <w:left w:val="none" w:sz="0" w:space="0" w:color="auto"/>
        <w:bottom w:val="none" w:sz="0" w:space="0" w:color="auto"/>
        <w:right w:val="none" w:sz="0" w:space="0" w:color="auto"/>
      </w:divBdr>
    </w:div>
    <w:div w:id="1736321218">
      <w:bodyDiv w:val="1"/>
      <w:marLeft w:val="0"/>
      <w:marRight w:val="0"/>
      <w:marTop w:val="0"/>
      <w:marBottom w:val="0"/>
      <w:divBdr>
        <w:top w:val="none" w:sz="0" w:space="0" w:color="auto"/>
        <w:left w:val="none" w:sz="0" w:space="0" w:color="auto"/>
        <w:bottom w:val="none" w:sz="0" w:space="0" w:color="auto"/>
        <w:right w:val="none" w:sz="0" w:space="0" w:color="auto"/>
      </w:divBdr>
    </w:div>
    <w:div w:id="1771194103">
      <w:bodyDiv w:val="1"/>
      <w:marLeft w:val="0"/>
      <w:marRight w:val="0"/>
      <w:marTop w:val="0"/>
      <w:marBottom w:val="0"/>
      <w:divBdr>
        <w:top w:val="none" w:sz="0" w:space="0" w:color="auto"/>
        <w:left w:val="none" w:sz="0" w:space="0" w:color="auto"/>
        <w:bottom w:val="none" w:sz="0" w:space="0" w:color="auto"/>
        <w:right w:val="none" w:sz="0" w:space="0" w:color="auto"/>
      </w:divBdr>
    </w:div>
    <w:div w:id="1774979977">
      <w:bodyDiv w:val="1"/>
      <w:marLeft w:val="0"/>
      <w:marRight w:val="0"/>
      <w:marTop w:val="0"/>
      <w:marBottom w:val="0"/>
      <w:divBdr>
        <w:top w:val="none" w:sz="0" w:space="0" w:color="auto"/>
        <w:left w:val="none" w:sz="0" w:space="0" w:color="auto"/>
        <w:bottom w:val="none" w:sz="0" w:space="0" w:color="auto"/>
        <w:right w:val="none" w:sz="0" w:space="0" w:color="auto"/>
      </w:divBdr>
      <w:divsChild>
        <w:div w:id="608319041">
          <w:marLeft w:val="274"/>
          <w:marRight w:val="0"/>
          <w:marTop w:val="148"/>
          <w:marBottom w:val="0"/>
          <w:divBdr>
            <w:top w:val="none" w:sz="0" w:space="0" w:color="auto"/>
            <w:left w:val="none" w:sz="0" w:space="0" w:color="auto"/>
            <w:bottom w:val="none" w:sz="0" w:space="0" w:color="auto"/>
            <w:right w:val="none" w:sz="0" w:space="0" w:color="auto"/>
          </w:divBdr>
        </w:div>
        <w:div w:id="1431045066">
          <w:marLeft w:val="274"/>
          <w:marRight w:val="0"/>
          <w:marTop w:val="148"/>
          <w:marBottom w:val="0"/>
          <w:divBdr>
            <w:top w:val="none" w:sz="0" w:space="0" w:color="auto"/>
            <w:left w:val="none" w:sz="0" w:space="0" w:color="auto"/>
            <w:bottom w:val="none" w:sz="0" w:space="0" w:color="auto"/>
            <w:right w:val="none" w:sz="0" w:space="0" w:color="auto"/>
          </w:divBdr>
        </w:div>
        <w:div w:id="1716391107">
          <w:marLeft w:val="274"/>
          <w:marRight w:val="0"/>
          <w:marTop w:val="148"/>
          <w:marBottom w:val="0"/>
          <w:divBdr>
            <w:top w:val="none" w:sz="0" w:space="0" w:color="auto"/>
            <w:left w:val="none" w:sz="0" w:space="0" w:color="auto"/>
            <w:bottom w:val="none" w:sz="0" w:space="0" w:color="auto"/>
            <w:right w:val="none" w:sz="0" w:space="0" w:color="auto"/>
          </w:divBdr>
        </w:div>
        <w:div w:id="2071922082">
          <w:marLeft w:val="274"/>
          <w:marRight w:val="0"/>
          <w:marTop w:val="148"/>
          <w:marBottom w:val="0"/>
          <w:divBdr>
            <w:top w:val="none" w:sz="0" w:space="0" w:color="auto"/>
            <w:left w:val="none" w:sz="0" w:space="0" w:color="auto"/>
            <w:bottom w:val="none" w:sz="0" w:space="0" w:color="auto"/>
            <w:right w:val="none" w:sz="0" w:space="0" w:color="auto"/>
          </w:divBdr>
        </w:div>
      </w:divsChild>
    </w:div>
    <w:div w:id="1779249942">
      <w:bodyDiv w:val="1"/>
      <w:marLeft w:val="0"/>
      <w:marRight w:val="0"/>
      <w:marTop w:val="0"/>
      <w:marBottom w:val="0"/>
      <w:divBdr>
        <w:top w:val="none" w:sz="0" w:space="0" w:color="auto"/>
        <w:left w:val="none" w:sz="0" w:space="0" w:color="auto"/>
        <w:bottom w:val="none" w:sz="0" w:space="0" w:color="auto"/>
        <w:right w:val="none" w:sz="0" w:space="0" w:color="auto"/>
      </w:divBdr>
    </w:div>
    <w:div w:id="1815681129">
      <w:bodyDiv w:val="1"/>
      <w:marLeft w:val="0"/>
      <w:marRight w:val="0"/>
      <w:marTop w:val="0"/>
      <w:marBottom w:val="0"/>
      <w:divBdr>
        <w:top w:val="none" w:sz="0" w:space="0" w:color="auto"/>
        <w:left w:val="none" w:sz="0" w:space="0" w:color="auto"/>
        <w:bottom w:val="none" w:sz="0" w:space="0" w:color="auto"/>
        <w:right w:val="none" w:sz="0" w:space="0" w:color="auto"/>
      </w:divBdr>
    </w:div>
    <w:div w:id="1848516655">
      <w:bodyDiv w:val="1"/>
      <w:marLeft w:val="0"/>
      <w:marRight w:val="0"/>
      <w:marTop w:val="0"/>
      <w:marBottom w:val="0"/>
      <w:divBdr>
        <w:top w:val="none" w:sz="0" w:space="0" w:color="auto"/>
        <w:left w:val="none" w:sz="0" w:space="0" w:color="auto"/>
        <w:bottom w:val="none" w:sz="0" w:space="0" w:color="auto"/>
        <w:right w:val="none" w:sz="0" w:space="0" w:color="auto"/>
      </w:divBdr>
    </w:div>
    <w:div w:id="1890847596">
      <w:bodyDiv w:val="1"/>
      <w:marLeft w:val="0"/>
      <w:marRight w:val="0"/>
      <w:marTop w:val="0"/>
      <w:marBottom w:val="0"/>
      <w:divBdr>
        <w:top w:val="none" w:sz="0" w:space="0" w:color="auto"/>
        <w:left w:val="none" w:sz="0" w:space="0" w:color="auto"/>
        <w:bottom w:val="none" w:sz="0" w:space="0" w:color="auto"/>
        <w:right w:val="none" w:sz="0" w:space="0" w:color="auto"/>
      </w:divBdr>
    </w:div>
    <w:div w:id="1910800017">
      <w:bodyDiv w:val="1"/>
      <w:marLeft w:val="0"/>
      <w:marRight w:val="0"/>
      <w:marTop w:val="0"/>
      <w:marBottom w:val="0"/>
      <w:divBdr>
        <w:top w:val="none" w:sz="0" w:space="0" w:color="auto"/>
        <w:left w:val="none" w:sz="0" w:space="0" w:color="auto"/>
        <w:bottom w:val="none" w:sz="0" w:space="0" w:color="auto"/>
        <w:right w:val="none" w:sz="0" w:space="0" w:color="auto"/>
      </w:divBdr>
    </w:div>
    <w:div w:id="1918514231">
      <w:bodyDiv w:val="1"/>
      <w:marLeft w:val="0"/>
      <w:marRight w:val="0"/>
      <w:marTop w:val="0"/>
      <w:marBottom w:val="0"/>
      <w:divBdr>
        <w:top w:val="none" w:sz="0" w:space="0" w:color="auto"/>
        <w:left w:val="none" w:sz="0" w:space="0" w:color="auto"/>
        <w:bottom w:val="none" w:sz="0" w:space="0" w:color="auto"/>
        <w:right w:val="none" w:sz="0" w:space="0" w:color="auto"/>
      </w:divBdr>
    </w:div>
    <w:div w:id="1949850176">
      <w:bodyDiv w:val="1"/>
      <w:marLeft w:val="0"/>
      <w:marRight w:val="0"/>
      <w:marTop w:val="0"/>
      <w:marBottom w:val="0"/>
      <w:divBdr>
        <w:top w:val="none" w:sz="0" w:space="0" w:color="auto"/>
        <w:left w:val="none" w:sz="0" w:space="0" w:color="auto"/>
        <w:bottom w:val="none" w:sz="0" w:space="0" w:color="auto"/>
        <w:right w:val="none" w:sz="0" w:space="0" w:color="auto"/>
      </w:divBdr>
    </w:div>
    <w:div w:id="1985772883">
      <w:bodyDiv w:val="1"/>
      <w:marLeft w:val="0"/>
      <w:marRight w:val="0"/>
      <w:marTop w:val="0"/>
      <w:marBottom w:val="0"/>
      <w:divBdr>
        <w:top w:val="none" w:sz="0" w:space="0" w:color="auto"/>
        <w:left w:val="none" w:sz="0" w:space="0" w:color="auto"/>
        <w:bottom w:val="none" w:sz="0" w:space="0" w:color="auto"/>
        <w:right w:val="none" w:sz="0" w:space="0" w:color="auto"/>
      </w:divBdr>
    </w:div>
    <w:div w:id="1989285730">
      <w:bodyDiv w:val="1"/>
      <w:marLeft w:val="0"/>
      <w:marRight w:val="0"/>
      <w:marTop w:val="0"/>
      <w:marBottom w:val="0"/>
      <w:divBdr>
        <w:top w:val="none" w:sz="0" w:space="0" w:color="auto"/>
        <w:left w:val="none" w:sz="0" w:space="0" w:color="auto"/>
        <w:bottom w:val="none" w:sz="0" w:space="0" w:color="auto"/>
        <w:right w:val="none" w:sz="0" w:space="0" w:color="auto"/>
      </w:divBdr>
    </w:div>
    <w:div w:id="2076976741">
      <w:bodyDiv w:val="1"/>
      <w:marLeft w:val="0"/>
      <w:marRight w:val="0"/>
      <w:marTop w:val="0"/>
      <w:marBottom w:val="0"/>
      <w:divBdr>
        <w:top w:val="none" w:sz="0" w:space="0" w:color="auto"/>
        <w:left w:val="none" w:sz="0" w:space="0" w:color="auto"/>
        <w:bottom w:val="none" w:sz="0" w:space="0" w:color="auto"/>
        <w:right w:val="none" w:sz="0" w:space="0" w:color="auto"/>
      </w:divBdr>
    </w:div>
    <w:div w:id="2137288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publique@autorite-transports.fr" TargetMode="External"/><Relationship Id="rId5" Type="http://schemas.openxmlformats.org/officeDocument/2006/relationships/numbering" Target="numbering.xml"/><Relationship Id="rId15" Type="http://schemas.openxmlformats.org/officeDocument/2006/relationships/image" Target="cid:image002.png@01DA2141.80F2D6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utorite-transports.fr/wp-content/uploads/2022/02/etude-concurrence-2022_h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6C01AA06B4C11BA5E997A3DE637CD"/>
        <w:category>
          <w:name w:val="Général"/>
          <w:gallery w:val="placeholder"/>
        </w:category>
        <w:types>
          <w:type w:val="bbPlcHdr"/>
        </w:types>
        <w:behaviors>
          <w:behavior w:val="content"/>
        </w:behaviors>
        <w:guid w:val="{F59D96DF-DA9A-41E6-9E7B-EDD0E6E37420}"/>
      </w:docPartPr>
      <w:docPartBody>
        <w:p w:rsidR="00CB658E" w:rsidRDefault="008A51A9">
          <w:pPr>
            <w:pStyle w:val="D426C01AA06B4C11BA5E997A3DE637CD"/>
          </w:pPr>
          <w:r w:rsidRPr="00F534F1">
            <w:rPr>
              <w:rStyle w:val="Textedelespacerserv"/>
              <w:highlight w:val="yellow"/>
            </w:rPr>
            <w:t>[</w:t>
          </w:r>
          <w:r>
            <w:rPr>
              <w:rStyle w:val="Textedelespacerserv"/>
              <w:highlight w:val="yellow"/>
            </w:rPr>
            <w:t>Avis n° 2022-XXX</w:t>
          </w:r>
          <w:r w:rsidRPr="00F534F1">
            <w:rPr>
              <w:rStyle w:val="Textedelespacerserv"/>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Liberation Sans">
    <w:charset w:val="01"/>
    <w:family w:val="roman"/>
    <w:pitch w:val="variable"/>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2AFF" w:usb1="5000785B" w:usb2="00000000" w:usb3="00000000" w:csb0="000001FF" w:csb1="00000000"/>
  </w:font>
  <w:font w:name="Roboto Bold Condensed">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8E"/>
    <w:rsid w:val="00037817"/>
    <w:rsid w:val="000A1013"/>
    <w:rsid w:val="001110B4"/>
    <w:rsid w:val="002D5CB7"/>
    <w:rsid w:val="00343F66"/>
    <w:rsid w:val="003619E5"/>
    <w:rsid w:val="003F697E"/>
    <w:rsid w:val="004427D7"/>
    <w:rsid w:val="00460E97"/>
    <w:rsid w:val="004F3AD6"/>
    <w:rsid w:val="005918E5"/>
    <w:rsid w:val="005D3694"/>
    <w:rsid w:val="00653522"/>
    <w:rsid w:val="0065685B"/>
    <w:rsid w:val="00721401"/>
    <w:rsid w:val="00780558"/>
    <w:rsid w:val="007C6FFD"/>
    <w:rsid w:val="0083654F"/>
    <w:rsid w:val="0088281B"/>
    <w:rsid w:val="008A1DF6"/>
    <w:rsid w:val="008A51A9"/>
    <w:rsid w:val="008D197D"/>
    <w:rsid w:val="008D495D"/>
    <w:rsid w:val="00944ABB"/>
    <w:rsid w:val="00A25733"/>
    <w:rsid w:val="00A26C08"/>
    <w:rsid w:val="00A4196C"/>
    <w:rsid w:val="00BE08E0"/>
    <w:rsid w:val="00C94D38"/>
    <w:rsid w:val="00CB658E"/>
    <w:rsid w:val="00CD4F3D"/>
    <w:rsid w:val="00CD68AA"/>
    <w:rsid w:val="00D01FDB"/>
    <w:rsid w:val="00D27485"/>
    <w:rsid w:val="00D87393"/>
    <w:rsid w:val="00D877C0"/>
    <w:rsid w:val="00DB59F7"/>
    <w:rsid w:val="00DB6A29"/>
    <w:rsid w:val="00E21DBF"/>
    <w:rsid w:val="00E22BB7"/>
    <w:rsid w:val="00E615BD"/>
    <w:rsid w:val="00EB58C5"/>
    <w:rsid w:val="00F33D57"/>
    <w:rsid w:val="00F57B6E"/>
    <w:rsid w:val="00FB4547"/>
    <w:rsid w:val="00FB4D6A"/>
    <w:rsid w:val="00FC05B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426C01AA06B4C11BA5E997A3DE637CD">
    <w:name w:val="D426C01AA06B4C11BA5E997A3DE63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ART2020_wordppt">
  <a:themeElements>
    <a:clrScheme name="Personnalisé 4">
      <a:dk1>
        <a:sysClr val="windowText" lastClr="000000"/>
      </a:dk1>
      <a:lt1>
        <a:sysClr val="window" lastClr="FFFFFF"/>
      </a:lt1>
      <a:dk2>
        <a:srgbClr val="24356D"/>
      </a:dk2>
      <a:lt2>
        <a:srgbClr val="E7E6E6"/>
      </a:lt2>
      <a:accent1>
        <a:srgbClr val="6C8A99"/>
      </a:accent1>
      <a:accent2>
        <a:srgbClr val="F39200"/>
      </a:accent2>
      <a:accent3>
        <a:srgbClr val="9CC5C4"/>
      </a:accent3>
      <a:accent4>
        <a:srgbClr val="C66C61"/>
      </a:accent4>
      <a:accent5>
        <a:srgbClr val="0084AD"/>
      </a:accent5>
      <a:accent6>
        <a:srgbClr val="815374"/>
      </a:accent6>
      <a:hlink>
        <a:srgbClr val="0563C1"/>
      </a:hlink>
      <a:folHlink>
        <a:srgbClr val="0563C1"/>
      </a:folHlink>
    </a:clrScheme>
    <a:fontScheme name="ART2020_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ART2020_wordppt" id="{F19908E4-411D-4B14-B692-7ED650ED6657}" vid="{8BD674CF-2C50-457B-8ECB-CA7C605000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D9971EEAE9345B8EFDE1B130E9290" ma:contentTypeVersion="3" ma:contentTypeDescription="Crée un document." ma:contentTypeScope="" ma:versionID="4a15c906cd11e27d22b7df16858ebc4e">
  <xsd:schema xmlns:xsd="http://www.w3.org/2001/XMLSchema" xmlns:xs="http://www.w3.org/2001/XMLSchema" xmlns:p="http://schemas.microsoft.com/office/2006/metadata/properties" xmlns:ns2="2b8f880b-07f4-43e8-8e85-1d0f70f6353c" targetNamespace="http://schemas.microsoft.com/office/2006/metadata/properties" ma:root="true" ma:fieldsID="fee4d482cff230338df1bbd4d2a18bf4" ns2:_="">
    <xsd:import namespace="2b8f880b-07f4-43e8-8e85-1d0f70f635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880b-07f4-43e8-8e85-1d0f70f63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SNC</b:Tag>
    <b:SourceType>Misc</b:SourceType>
    <b:Guid>{B62C0649-4EC7-4286-B3F7-A209738D0FCA}</b:Guid>
    <b:Title>SNCF Réseau</b:Title>
    <b:RefOrder>1</b:RefOrder>
  </b:Source>
</b:Sources>
</file>

<file path=customXml/itemProps1.xml><?xml version="1.0" encoding="utf-8"?>
<ds:datastoreItem xmlns:ds="http://schemas.openxmlformats.org/officeDocument/2006/customXml" ds:itemID="{23330235-CD40-4B24-8CEE-F1E4D36CE6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E4286-AFAA-4E28-9864-311DBD9AC89F}">
  <ds:schemaRefs>
    <ds:schemaRef ds:uri="http://schemas.microsoft.com/sharepoint/v3/contenttype/forms"/>
  </ds:schemaRefs>
</ds:datastoreItem>
</file>

<file path=customXml/itemProps3.xml><?xml version="1.0" encoding="utf-8"?>
<ds:datastoreItem xmlns:ds="http://schemas.openxmlformats.org/officeDocument/2006/customXml" ds:itemID="{235D7D69-0CC8-491C-8900-792CEA633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880b-07f4-43e8-8e85-1d0f70f63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B4279-F6AC-4E5E-B744-6F1ACC67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8156</Words>
  <Characters>44858</Characters>
  <Application>Microsoft Office Word</Application>
  <DocSecurity>4</DocSecurity>
  <Lines>373</Lines>
  <Paragraphs>105</Paragraphs>
  <ScaleCrop>false</ScaleCrop>
  <HeadingPairs>
    <vt:vector size="2" baseType="variant">
      <vt:variant>
        <vt:lpstr>Titre</vt:lpstr>
      </vt:variant>
      <vt:variant>
        <vt:i4>1</vt:i4>
      </vt:variant>
    </vt:vector>
  </HeadingPairs>
  <TitlesOfParts>
    <vt:vector size="1" baseType="lpstr">
      <vt:lpstr>Consultation publique</vt:lpstr>
    </vt:vector>
  </TitlesOfParts>
  <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publique</dc:title>
  <dc:subject/>
  <dc:creator>Christos Kaloudas</dc:creator>
  <cp:keywords/>
  <dc:description/>
  <cp:lastModifiedBy>CHAVERONDIER Salomé</cp:lastModifiedBy>
  <cp:revision>2</cp:revision>
  <cp:lastPrinted>2023-10-20T08:04:00Z</cp:lastPrinted>
  <dcterms:created xsi:type="dcterms:W3CDTF">2024-03-05T08:56:00Z</dcterms:created>
  <dcterms:modified xsi:type="dcterms:W3CDTF">2024-03-05T08:56:00Z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0x010100DCAD9971EEAE9345B8EFDE1B130E9290</vt:lpwstr>
  </property>
</Properties>
</file>