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CE64" w14:textId="77777777" w:rsidR="00AE15E3" w:rsidRPr="00AB226A" w:rsidRDefault="00AE15E3" w:rsidP="006A42A3">
      <w:pPr>
        <w:pStyle w:val="Titre"/>
        <w:rPr>
          <w:rFonts w:ascii="Roboto" w:hAnsi="Roboto"/>
        </w:rPr>
      </w:pPr>
      <w:r w:rsidRPr="00AB226A">
        <w:rPr>
          <w:rFonts w:ascii="Roboto" w:hAnsi="Roboto"/>
        </w:rPr>
        <w:t>Consultation publique</w:t>
      </w:r>
    </w:p>
    <w:p w14:paraId="6B3C93BD" w14:textId="1AD8E7FC" w:rsidR="006876BB" w:rsidRPr="00CE12AA" w:rsidRDefault="00C40144" w:rsidP="00234CEE">
      <w:pPr>
        <w:pStyle w:val="Sous-titre"/>
        <w:rPr>
          <w:rFonts w:ascii="Roboto" w:hAnsi="Roboto"/>
        </w:rPr>
      </w:pPr>
      <w:r>
        <w:rPr>
          <w:rFonts w:ascii="Roboto" w:hAnsi="Roboto"/>
        </w:rPr>
        <w:t>Évolution des règles de séparation comptable de SNCF Voyageurs</w:t>
      </w:r>
    </w:p>
    <w:p w14:paraId="0DFCA975" w14:textId="77777777" w:rsidR="006876BB" w:rsidRPr="00AB226A" w:rsidRDefault="006876BB" w:rsidP="006876BB"/>
    <w:p w14:paraId="30FDA148" w14:textId="1D41EDB1" w:rsidR="009E3084" w:rsidRPr="003771EF" w:rsidRDefault="00AE15E3" w:rsidP="007D5C26">
      <w:r w:rsidRPr="00AB226A">
        <w:t>Début :</w:t>
      </w:r>
      <w:r w:rsidRPr="00AB226A">
        <w:rPr>
          <w:b/>
        </w:rPr>
        <w:t xml:space="preserve"> </w:t>
      </w:r>
      <w:r w:rsidR="003771EF" w:rsidRPr="003771EF">
        <w:rPr>
          <w:b/>
          <w:bCs/>
        </w:rPr>
        <w:t>1</w:t>
      </w:r>
      <w:r w:rsidR="00952316">
        <w:rPr>
          <w:b/>
          <w:bCs/>
        </w:rPr>
        <w:t>4</w:t>
      </w:r>
      <w:r w:rsidR="00C40144" w:rsidRPr="003771EF">
        <w:rPr>
          <w:b/>
          <w:bCs/>
        </w:rPr>
        <w:t xml:space="preserve"> </w:t>
      </w:r>
      <w:r w:rsidR="00203F55" w:rsidRPr="003771EF">
        <w:rPr>
          <w:b/>
          <w:bCs/>
        </w:rPr>
        <w:t>février</w:t>
      </w:r>
      <w:r w:rsidRPr="003771EF">
        <w:rPr>
          <w:b/>
        </w:rPr>
        <w:t xml:space="preserve"> </w:t>
      </w:r>
      <w:r w:rsidR="002F45CF" w:rsidRPr="003771EF">
        <w:rPr>
          <w:b/>
        </w:rPr>
        <w:t>202</w:t>
      </w:r>
      <w:r w:rsidR="003D06F0" w:rsidRPr="003771EF">
        <w:rPr>
          <w:b/>
        </w:rPr>
        <w:t>4</w:t>
      </w:r>
    </w:p>
    <w:p w14:paraId="0D210E57" w14:textId="6FF1693D" w:rsidR="004F2558" w:rsidRPr="00AB226A" w:rsidRDefault="007D5C26" w:rsidP="007D5C26">
      <w:r w:rsidRPr="003771EF">
        <w:t xml:space="preserve">Fin : </w:t>
      </w:r>
      <w:r w:rsidR="00952316">
        <w:rPr>
          <w:b/>
          <w:bCs/>
        </w:rPr>
        <w:t>13</w:t>
      </w:r>
      <w:r w:rsidRPr="003771EF">
        <w:rPr>
          <w:b/>
        </w:rPr>
        <w:t xml:space="preserve"> </w:t>
      </w:r>
      <w:r w:rsidR="003771EF" w:rsidRPr="003771EF">
        <w:rPr>
          <w:b/>
        </w:rPr>
        <w:t>mars</w:t>
      </w:r>
      <w:r w:rsidRPr="003771EF">
        <w:rPr>
          <w:b/>
        </w:rPr>
        <w:t xml:space="preserve"> </w:t>
      </w:r>
      <w:r w:rsidR="002F45CF" w:rsidRPr="003771EF">
        <w:rPr>
          <w:b/>
        </w:rPr>
        <w:t>202</w:t>
      </w:r>
      <w:r w:rsidR="00C40144" w:rsidRPr="003771EF">
        <w:rPr>
          <w:b/>
        </w:rPr>
        <w:t>4</w:t>
      </w:r>
    </w:p>
    <w:p w14:paraId="70F7B950" w14:textId="77777777" w:rsidR="007D5C26" w:rsidRPr="00AB226A" w:rsidRDefault="007D5C26" w:rsidP="00AE15E3">
      <w:pPr>
        <w:spacing w:before="0"/>
        <w:rPr>
          <w:rFonts w:eastAsiaTheme="majorEastAsia" w:cstheme="majorBidi"/>
          <w:bCs/>
          <w:color w:val="24356D" w:themeColor="text2"/>
          <w:szCs w:val="26"/>
        </w:rPr>
      </w:pPr>
    </w:p>
    <w:p w14:paraId="7BA92332" w14:textId="5550AC59" w:rsidR="007D5C26" w:rsidRPr="00AB226A" w:rsidRDefault="007D5C26">
      <w:pPr>
        <w:spacing w:before="0" w:after="0" w:line="280" w:lineRule="atLeast"/>
        <w:jc w:val="left"/>
        <w:rPr>
          <w:rFonts w:eastAsiaTheme="majorEastAsia" w:cstheme="majorBidi"/>
          <w:color w:val="24356D" w:themeColor="text2"/>
          <w:spacing w:val="5"/>
          <w:kern w:val="28"/>
          <w:sz w:val="24"/>
          <w:szCs w:val="52"/>
        </w:rPr>
      </w:pPr>
    </w:p>
    <w:p w14:paraId="22B83E23" w14:textId="77777777" w:rsidR="006876BB" w:rsidRPr="00AB226A" w:rsidRDefault="006876BB" w:rsidP="00234CEE">
      <w:pPr>
        <w:pStyle w:val="Sous-titre"/>
        <w:rPr>
          <w:rFonts w:ascii="Roboto" w:hAnsi="Roboto"/>
        </w:rPr>
      </w:pPr>
      <w:r w:rsidRPr="00AB226A">
        <w:rPr>
          <w:rFonts w:ascii="Roboto" w:hAnsi="Roboto"/>
        </w:rPr>
        <w:t>Objet</w:t>
      </w:r>
      <w:r w:rsidR="00290A18" w:rsidRPr="00AB226A">
        <w:rPr>
          <w:rFonts w:ascii="Roboto" w:hAnsi="Roboto"/>
        </w:rPr>
        <w:t xml:space="preserve"> et modalités de la consultation publique</w:t>
      </w:r>
    </w:p>
    <w:p w14:paraId="4B2E1BD7" w14:textId="63D120E1" w:rsidR="00FA4920" w:rsidRDefault="00234CEE" w:rsidP="005A31A6">
      <w:r>
        <w:t xml:space="preserve">Le présent document a pour objet de </w:t>
      </w:r>
      <w:r w:rsidR="00DE7BEC">
        <w:t xml:space="preserve">présenter les </w:t>
      </w:r>
      <w:r w:rsidR="00C40144">
        <w:t>modifications des règles de séparation comptable proposées par SNCF Voyageurs</w:t>
      </w:r>
      <w:r w:rsidR="00FA4920">
        <w:t xml:space="preserve"> à compter de </w:t>
      </w:r>
      <w:r w:rsidR="39F237F7">
        <w:t>l’exercice comptable</w:t>
      </w:r>
      <w:r w:rsidR="00FA4920">
        <w:t> 2023</w:t>
      </w:r>
      <w:r w:rsidR="00C40144">
        <w:t xml:space="preserve"> ainsi que </w:t>
      </w:r>
      <w:r w:rsidR="6F567187">
        <w:t xml:space="preserve">les </w:t>
      </w:r>
      <w:r w:rsidR="00DE7BEC">
        <w:t>éléments de réflexion de l’Autorité</w:t>
      </w:r>
      <w:r w:rsidR="73ED2F6D">
        <w:t xml:space="preserve"> de régulation des transports </w:t>
      </w:r>
      <w:r w:rsidR="28FF4F96">
        <w:t>(ci-après « l’Autorité », ou « ART »)</w:t>
      </w:r>
      <w:r w:rsidR="00DE7BEC">
        <w:t xml:space="preserve"> </w:t>
      </w:r>
      <w:r w:rsidR="11FAEA7B">
        <w:t xml:space="preserve">sur ces propositions </w:t>
      </w:r>
      <w:r w:rsidR="58748796">
        <w:t xml:space="preserve">et de </w:t>
      </w:r>
      <w:r w:rsidR="008C40C2">
        <w:t>consulter l’ensemble des acteurs intéressés sur ces éléments</w:t>
      </w:r>
      <w:r w:rsidR="00CA3F74">
        <w:t>, avant l’adoption par l’Autorité d’une décision sur l’approbation de ces règles</w:t>
      </w:r>
      <w:r w:rsidR="00CC230A">
        <w:t>, en application de l’article L. 2133-4 du code des transports</w:t>
      </w:r>
      <w:r w:rsidR="00E54166">
        <w:t>.</w:t>
      </w:r>
    </w:p>
    <w:p w14:paraId="252D3EE3" w14:textId="22E83177" w:rsidR="00234CEE" w:rsidRPr="00AB226A" w:rsidRDefault="00234CEE" w:rsidP="00234CEE">
      <w:r w:rsidRPr="00F87915">
        <w:t>Les personnes intéressées peuvent apporter toutes les observations qu’elles souhaitent sur le</w:t>
      </w:r>
      <w:r w:rsidR="00F87915" w:rsidRPr="00F87915">
        <w:t>s</w:t>
      </w:r>
      <w:r w:rsidR="00F87915">
        <w:t xml:space="preserve"> problématiques qui sont exposées dans le présent document.</w:t>
      </w:r>
    </w:p>
    <w:p w14:paraId="5BE6766C" w14:textId="63E948A5" w:rsidR="00CA3F74" w:rsidRPr="00AB226A" w:rsidRDefault="00CA3F74" w:rsidP="00CA3F74">
      <w:r>
        <w:t xml:space="preserve">La plupart des modifications </w:t>
      </w:r>
      <w:r w:rsidR="00AC1FE3">
        <w:t>concernent</w:t>
      </w:r>
      <w:r>
        <w:t xml:space="preserve"> des précisions sur la description des règles de séparation comptable, en vue d’améliorer la transparence de ces règles. Néanmoins, quelques modifications</w:t>
      </w:r>
      <w:r w:rsidR="009A3E7F">
        <w:t>, en particulier celle concernant l’allocation des coûts de distribution,</w:t>
      </w:r>
      <w:r>
        <w:t xml:space="preserve"> sont susceptibles d’avoir un effet </w:t>
      </w:r>
      <w:r w:rsidR="51D958EA">
        <w:t xml:space="preserve">sur </w:t>
      </w:r>
      <w:r>
        <w:t xml:space="preserve">les comptes séparés des entreprises ferroviaires de transport régional de SNCF Voyageurs. </w:t>
      </w:r>
      <w:r w:rsidR="083AAD2A">
        <w:t>C’est pourquoi l’Autorité souhaite consulter les parties prenantes</w:t>
      </w:r>
      <w:r>
        <w:t xml:space="preserve"> dans ce document </w:t>
      </w:r>
      <w:r w:rsidR="1899D637">
        <w:t xml:space="preserve">sur </w:t>
      </w:r>
      <w:r w:rsidR="00AC1FE3">
        <w:t xml:space="preserve">son analyse préalable de </w:t>
      </w:r>
      <w:r w:rsidR="009A3E7F">
        <w:t>ces évolutions. Cette analyse est susceptible d’être modifiée en fonction des contributions reçues.</w:t>
      </w:r>
    </w:p>
    <w:p w14:paraId="4873209D" w14:textId="5FCCFA42" w:rsidR="00141E77" w:rsidRPr="00AB226A" w:rsidRDefault="00141E77" w:rsidP="00AF528E">
      <w:pPr>
        <w:rPr>
          <w:rFonts w:eastAsia="Franklin Gothic Book"/>
        </w:rPr>
      </w:pPr>
      <w:r w:rsidRPr="00AB226A">
        <w:rPr>
          <w:rFonts w:eastAsia="Franklin Gothic Book"/>
        </w:rPr>
        <w:t xml:space="preserve">Les observations sur le présent document, ainsi que toutes contributions </w:t>
      </w:r>
      <w:r w:rsidR="00601C03">
        <w:rPr>
          <w:rFonts w:eastAsia="Franklin Gothic Book"/>
        </w:rPr>
        <w:t>de nature à</w:t>
      </w:r>
      <w:r w:rsidRPr="00AB226A">
        <w:rPr>
          <w:rFonts w:eastAsia="Franklin Gothic Book"/>
        </w:rPr>
        <w:t xml:space="preserve"> éclairer l’Autorité, peuvent être transmises </w:t>
      </w:r>
      <w:r w:rsidRPr="003771EF">
        <w:rPr>
          <w:rFonts w:eastAsia="Franklin Gothic Book"/>
        </w:rPr>
        <w:t xml:space="preserve">jusqu’au </w:t>
      </w:r>
      <w:r w:rsidR="00952316">
        <w:rPr>
          <w:rFonts w:eastAsia="Franklin Gothic Book"/>
        </w:rPr>
        <w:t>13</w:t>
      </w:r>
      <w:r w:rsidR="003771EF" w:rsidRPr="003771EF">
        <w:rPr>
          <w:rFonts w:eastAsia="Franklin Gothic Book"/>
        </w:rPr>
        <w:t xml:space="preserve"> mars</w:t>
      </w:r>
      <w:r w:rsidRPr="003771EF">
        <w:rPr>
          <w:rFonts w:eastAsia="Franklin Gothic Book"/>
        </w:rPr>
        <w:t xml:space="preserve"> </w:t>
      </w:r>
      <w:r w:rsidR="00DE7BEC" w:rsidRPr="003771EF">
        <w:rPr>
          <w:rFonts w:eastAsia="Franklin Gothic Book"/>
        </w:rPr>
        <w:t>202</w:t>
      </w:r>
      <w:r w:rsidR="00607E5C" w:rsidRPr="003771EF">
        <w:rPr>
          <w:rFonts w:eastAsia="Franklin Gothic Book"/>
        </w:rPr>
        <w:t>4</w:t>
      </w:r>
      <w:r w:rsidR="00155089" w:rsidRPr="003771EF">
        <w:rPr>
          <w:rFonts w:eastAsia="Franklin Gothic Book"/>
        </w:rPr>
        <w:t>, par courriel, à l’adresse</w:t>
      </w:r>
      <w:r w:rsidR="00155089">
        <w:rPr>
          <w:rFonts w:eastAsia="Franklin Gothic Book"/>
        </w:rPr>
        <w:t xml:space="preserve"> suivante</w:t>
      </w:r>
      <w:r w:rsidR="00FD08F8">
        <w:rPr>
          <w:rFonts w:eastAsia="Franklin Gothic Book"/>
        </w:rPr>
        <w:t> </w:t>
      </w:r>
      <w:r w:rsidRPr="00AB226A">
        <w:rPr>
          <w:rFonts w:eastAsia="Franklin Gothic Book"/>
        </w:rPr>
        <w:t>:</w:t>
      </w:r>
      <w:r w:rsidR="00155089">
        <w:rPr>
          <w:rFonts w:eastAsia="Franklin Gothic Book"/>
        </w:rPr>
        <w:t xml:space="preserve"> </w:t>
      </w:r>
      <w:hyperlink r:id="rId11" w:history="1">
        <w:r w:rsidRPr="00AB226A">
          <w:rPr>
            <w:rStyle w:val="Lienhypertexte"/>
            <w:rFonts w:eastAsia="Franklin Gothic Book"/>
          </w:rPr>
          <w:t>consultation.publique@autorite-transports.fr</w:t>
        </w:r>
      </w:hyperlink>
      <w:r w:rsidRPr="00AB226A">
        <w:rPr>
          <w:rFonts w:eastAsia="Franklin Gothic Book"/>
          <w:color w:val="6C8A99"/>
          <w:u w:val="single"/>
        </w:rPr>
        <w:t xml:space="preserve"> </w:t>
      </w:r>
    </w:p>
    <w:p w14:paraId="16AE981F" w14:textId="0DFCC73E" w:rsidR="00234CEE" w:rsidRPr="00AB226A" w:rsidRDefault="00141E77" w:rsidP="00141E77">
      <w:r w:rsidRPr="660AB87A">
        <w:rPr>
          <w:rFonts w:eastAsia="Franklin Gothic Book"/>
        </w:rPr>
        <w:t xml:space="preserve">Sauf demande contraire expressément formulée, l’Autorité, dans un souci de transparence, </w:t>
      </w:r>
      <w:r w:rsidR="00195D2F">
        <w:rPr>
          <w:rFonts w:eastAsia="Franklin Gothic Book"/>
        </w:rPr>
        <w:t xml:space="preserve">se réserve le droit de </w:t>
      </w:r>
      <w:r w:rsidRPr="660AB87A">
        <w:rPr>
          <w:rFonts w:eastAsia="Franklin Gothic Book"/>
        </w:rPr>
        <w:t>publier l’intégralité des commentaires qui lui auront été transmis, à l’exclusion des parties couvertes par un secret protégé par la loi et, le cas échéant, sous réserve des passages que les contributeurs souhaiteraient garder confidentiels</w:t>
      </w:r>
      <w:r w:rsidR="00234CEE">
        <w:t>.</w:t>
      </w:r>
    </w:p>
    <w:p w14:paraId="430EAAE3" w14:textId="4832C168" w:rsidR="00234CEE" w:rsidRPr="00AB226A" w:rsidRDefault="00F9518B" w:rsidP="00E54166">
      <w:r>
        <w:t>À</w:t>
      </w:r>
      <w:r w:rsidR="00234CEE" w:rsidRPr="00AB226A">
        <w:t xml:space="preserve"> cette fin, les contributeurs sont invités à indiquer précisément les éléments qu’ils considèrent </w:t>
      </w:r>
      <w:r w:rsidR="006A29DB">
        <w:t>comme confidentiels ou comme</w:t>
      </w:r>
      <w:r w:rsidR="003F24F9">
        <w:t xml:space="preserve"> étant</w:t>
      </w:r>
      <w:r w:rsidR="00234CEE" w:rsidRPr="00AB226A">
        <w:t xml:space="preserve"> couverts par un secret protégé par la loi.</w:t>
      </w:r>
    </w:p>
    <w:p w14:paraId="24BEA733" w14:textId="77777777" w:rsidR="00234CEE" w:rsidRPr="00AB226A" w:rsidRDefault="00234CEE" w:rsidP="00E54166">
      <w:r w:rsidRPr="00AB226A">
        <w:t>L’Autorité se réserve le droit de publier une synthèse des contributions (sous réserve des éléments confidentiels), sans faire mention, le cas échéant, de leurs auteurs.</w:t>
      </w:r>
    </w:p>
    <w:p w14:paraId="4BB7DE93" w14:textId="77777777" w:rsidR="00E27929" w:rsidRDefault="00E27929">
      <w:pPr>
        <w:spacing w:before="0" w:after="0" w:line="280" w:lineRule="atLeast"/>
        <w:jc w:val="left"/>
        <w:rPr>
          <w:rFonts w:eastAsiaTheme="majorEastAsia" w:cstheme="majorBidi"/>
          <w:b/>
          <w:color w:val="24356D"/>
          <w:spacing w:val="5"/>
          <w:kern w:val="28"/>
          <w:sz w:val="24"/>
          <w:szCs w:val="52"/>
        </w:rPr>
      </w:pPr>
      <w:r>
        <w:br w:type="page"/>
      </w:r>
    </w:p>
    <w:p w14:paraId="2D5A0E0F" w14:textId="79F51F1F" w:rsidR="006876BB" w:rsidRPr="00AB226A" w:rsidRDefault="006876BB" w:rsidP="00234CEE">
      <w:pPr>
        <w:pStyle w:val="Sous-titre"/>
        <w:rPr>
          <w:rFonts w:ascii="Roboto" w:eastAsiaTheme="minorEastAsia" w:hAnsi="Roboto" w:cs="Times New Roman"/>
          <w:color w:val="auto"/>
          <w:spacing w:val="0"/>
          <w:kern w:val="0"/>
          <w:sz w:val="21"/>
          <w:szCs w:val="21"/>
        </w:rPr>
      </w:pPr>
      <w:r w:rsidRPr="00AB226A">
        <w:rPr>
          <w:rFonts w:ascii="Roboto" w:hAnsi="Roboto"/>
        </w:rPr>
        <w:t>Références</w:t>
      </w:r>
    </w:p>
    <w:p w14:paraId="50ADFDF1" w14:textId="49D9F0B4" w:rsidR="003D54BD" w:rsidRPr="00D568BC" w:rsidRDefault="000D1807" w:rsidP="0059094D">
      <w:pPr>
        <w:pStyle w:val="Listeavis"/>
        <w:numPr>
          <w:ilvl w:val="0"/>
          <w:numId w:val="0"/>
        </w:numPr>
      </w:pPr>
      <w:r w:rsidRPr="00D568BC">
        <w:t xml:space="preserve">Directive </w:t>
      </w:r>
      <w:r w:rsidR="00D568BC" w:rsidRPr="00D568BC">
        <w:t>2012/34/UE du Parlement européen et du Conseil du 21</w:t>
      </w:r>
      <w:r w:rsidR="00971C1C">
        <w:t> </w:t>
      </w:r>
      <w:r w:rsidR="00D568BC" w:rsidRPr="00D568BC">
        <w:t>novembre</w:t>
      </w:r>
      <w:r w:rsidR="00971C1C">
        <w:t> </w:t>
      </w:r>
      <w:r w:rsidR="00D568BC" w:rsidRPr="00D568BC">
        <w:t>2012 établissant un espace ferroviaire unique européen</w:t>
      </w:r>
      <w:r w:rsidR="009A16D0">
        <w:t xml:space="preserve"> (Article 6)</w:t>
      </w:r>
    </w:p>
    <w:p w14:paraId="52FC4B15" w14:textId="087D9EE9" w:rsidR="003D54BD" w:rsidRDefault="009A16D0" w:rsidP="0059094D">
      <w:r w:rsidRPr="00D568BC">
        <w:t xml:space="preserve">Code des transports </w:t>
      </w:r>
      <w:r>
        <w:t>(</w:t>
      </w:r>
      <w:r w:rsidR="00D568BC" w:rsidRPr="00D568BC">
        <w:t>Article</w:t>
      </w:r>
      <w:r>
        <w:t>s</w:t>
      </w:r>
      <w:r w:rsidR="00A81AF3" w:rsidRPr="00A81AF3">
        <w:t xml:space="preserve"> L.</w:t>
      </w:r>
      <w:r w:rsidR="00971C1C">
        <w:t> </w:t>
      </w:r>
      <w:r w:rsidR="00A81AF3" w:rsidRPr="00A81AF3">
        <w:t>2123-1-1</w:t>
      </w:r>
      <w:r w:rsidR="00A81AF3">
        <w:t>,</w:t>
      </w:r>
      <w:r w:rsidR="00D568BC" w:rsidRPr="00D568BC">
        <w:t xml:space="preserve"> L.</w:t>
      </w:r>
      <w:r w:rsidR="00971C1C">
        <w:t> </w:t>
      </w:r>
      <w:r w:rsidR="00D568BC" w:rsidRPr="00D568BC">
        <w:t>2133-4</w:t>
      </w:r>
      <w:r>
        <w:t xml:space="preserve">, </w:t>
      </w:r>
      <w:r w:rsidRPr="009A16D0">
        <w:t>L.</w:t>
      </w:r>
      <w:r w:rsidR="00971C1C">
        <w:t> </w:t>
      </w:r>
      <w:r w:rsidRPr="009A16D0">
        <w:t>2144-1 et L.</w:t>
      </w:r>
      <w:r w:rsidR="00971C1C">
        <w:t> </w:t>
      </w:r>
      <w:r w:rsidRPr="009A16D0">
        <w:t>2144-2</w:t>
      </w:r>
      <w:r>
        <w:t>)</w:t>
      </w:r>
    </w:p>
    <w:p w14:paraId="33D93DDF" w14:textId="083DD77A" w:rsidR="00290A18" w:rsidRDefault="00D568BC" w:rsidP="006D0530">
      <w:pPr>
        <w:autoSpaceDE w:val="0"/>
        <w:autoSpaceDN w:val="0"/>
        <w:adjustRightInd w:val="0"/>
        <w:spacing w:before="0" w:after="0"/>
        <w:rPr>
          <w:rFonts w:cs="Roboto"/>
          <w:color w:val="000000"/>
          <w:szCs w:val="21"/>
        </w:rPr>
      </w:pPr>
      <w:r>
        <w:rPr>
          <w:rFonts w:cs="Roboto"/>
          <w:color w:val="000000"/>
          <w:szCs w:val="21"/>
        </w:rPr>
        <w:t>D</w:t>
      </w:r>
      <w:r w:rsidRPr="00D568BC">
        <w:rPr>
          <w:rFonts w:cs="Roboto"/>
          <w:color w:val="000000"/>
          <w:szCs w:val="21"/>
        </w:rPr>
        <w:t>écret n°</w:t>
      </w:r>
      <w:r w:rsidR="0018560F">
        <w:rPr>
          <w:rFonts w:cs="Roboto"/>
          <w:color w:val="000000"/>
          <w:szCs w:val="21"/>
        </w:rPr>
        <w:t> </w:t>
      </w:r>
      <w:r w:rsidRPr="00D568BC">
        <w:rPr>
          <w:rFonts w:cs="Roboto"/>
          <w:color w:val="000000"/>
          <w:szCs w:val="21"/>
        </w:rPr>
        <w:t>2019-1589 du 31</w:t>
      </w:r>
      <w:r w:rsidR="00971C1C">
        <w:rPr>
          <w:rFonts w:cs="Roboto"/>
          <w:color w:val="000000"/>
          <w:szCs w:val="21"/>
        </w:rPr>
        <w:t> </w:t>
      </w:r>
      <w:r w:rsidRPr="00D568BC">
        <w:rPr>
          <w:rFonts w:cs="Roboto"/>
          <w:color w:val="000000"/>
          <w:szCs w:val="21"/>
        </w:rPr>
        <w:t>décembre</w:t>
      </w:r>
      <w:r w:rsidR="00971C1C">
        <w:rPr>
          <w:rFonts w:cs="Roboto"/>
          <w:color w:val="000000"/>
          <w:szCs w:val="21"/>
        </w:rPr>
        <w:t> </w:t>
      </w:r>
      <w:r w:rsidRPr="00D568BC">
        <w:rPr>
          <w:rFonts w:cs="Roboto"/>
          <w:color w:val="000000"/>
          <w:szCs w:val="21"/>
        </w:rPr>
        <w:t>2019 approuvant les statuts de la société SNCF</w:t>
      </w:r>
      <w:r w:rsidR="000F3AB0">
        <w:rPr>
          <w:rFonts w:cs="Roboto"/>
          <w:color w:val="000000"/>
          <w:szCs w:val="21"/>
        </w:rPr>
        <w:t> </w:t>
      </w:r>
      <w:r w:rsidRPr="00D568BC">
        <w:rPr>
          <w:rFonts w:cs="Roboto"/>
          <w:color w:val="000000"/>
          <w:szCs w:val="21"/>
        </w:rPr>
        <w:t>Voyageurs et portant diverses dispositions relatives à la société SNCF</w:t>
      </w:r>
      <w:r w:rsidR="000F3AB0">
        <w:rPr>
          <w:rFonts w:cs="Roboto"/>
          <w:color w:val="000000"/>
          <w:szCs w:val="21"/>
        </w:rPr>
        <w:t> </w:t>
      </w:r>
      <w:r w:rsidRPr="00D568BC">
        <w:rPr>
          <w:rFonts w:cs="Roboto"/>
          <w:color w:val="000000"/>
          <w:szCs w:val="21"/>
        </w:rPr>
        <w:t>Voyageurs</w:t>
      </w:r>
    </w:p>
    <w:p w14:paraId="1FE35F47" w14:textId="77777777" w:rsidR="00E27929" w:rsidRDefault="00E27929" w:rsidP="006D0530">
      <w:pPr>
        <w:autoSpaceDE w:val="0"/>
        <w:autoSpaceDN w:val="0"/>
        <w:adjustRightInd w:val="0"/>
        <w:spacing w:before="0" w:after="0"/>
      </w:pPr>
    </w:p>
    <w:p w14:paraId="3B28F87B" w14:textId="43D1CB7B" w:rsidR="00E27929" w:rsidRPr="000D1807" w:rsidRDefault="00D855E2" w:rsidP="006D0530">
      <w:pPr>
        <w:autoSpaceDE w:val="0"/>
        <w:autoSpaceDN w:val="0"/>
        <w:adjustRightInd w:val="0"/>
        <w:spacing w:before="0" w:after="0"/>
      </w:pPr>
      <w:r w:rsidRPr="009A7B0A">
        <w:t>Décision n°</w:t>
      </w:r>
      <w:r>
        <w:t> </w:t>
      </w:r>
      <w:r w:rsidRPr="009A7B0A">
        <w:t>2017-101 du 27</w:t>
      </w:r>
      <w:r>
        <w:t> </w:t>
      </w:r>
      <w:r w:rsidRPr="009A7B0A">
        <w:t>septembre</w:t>
      </w:r>
      <w:r>
        <w:t> </w:t>
      </w:r>
      <w:r w:rsidRPr="009A7B0A">
        <w:t>2017 relative aux règles de séparation comptable applicables aux entreprises ferroviaires</w:t>
      </w:r>
    </w:p>
    <w:p w14:paraId="05336282" w14:textId="77777777" w:rsidR="00D855E2" w:rsidRDefault="00D855E2" w:rsidP="006D0530">
      <w:pPr>
        <w:autoSpaceDE w:val="0"/>
        <w:autoSpaceDN w:val="0"/>
        <w:adjustRightInd w:val="0"/>
        <w:spacing w:before="0" w:after="0"/>
      </w:pPr>
    </w:p>
    <w:p w14:paraId="0A77FDA4" w14:textId="0D2F5372" w:rsidR="00D855E2" w:rsidRDefault="00D855E2" w:rsidP="006D0530">
      <w:pPr>
        <w:autoSpaceDE w:val="0"/>
        <w:autoSpaceDN w:val="0"/>
        <w:adjustRightInd w:val="0"/>
        <w:spacing w:before="0" w:after="0"/>
      </w:pPr>
      <w:r w:rsidRPr="009A7B0A">
        <w:t>Décision n°</w:t>
      </w:r>
      <w:r>
        <w:t> </w:t>
      </w:r>
      <w:r w:rsidRPr="009A7B0A">
        <w:t>2021-029 du 27</w:t>
      </w:r>
      <w:r>
        <w:t> </w:t>
      </w:r>
      <w:r w:rsidRPr="009A7B0A">
        <w:t>mai</w:t>
      </w:r>
      <w:r>
        <w:t> </w:t>
      </w:r>
      <w:r w:rsidRPr="009A7B0A">
        <w:t xml:space="preserve">2021 relative aux règles de séparation comptable de </w:t>
      </w:r>
      <w:r>
        <w:t>SNCF Voyageurs</w:t>
      </w:r>
      <w:r w:rsidRPr="009A7B0A">
        <w:t xml:space="preserve"> et Fret</w:t>
      </w:r>
      <w:r>
        <w:t> </w:t>
      </w:r>
      <w:r w:rsidRPr="009A7B0A">
        <w:t>SNCF</w:t>
      </w:r>
    </w:p>
    <w:p w14:paraId="30DFDBD2" w14:textId="77777777" w:rsidR="00D855E2" w:rsidRDefault="00D855E2" w:rsidP="00631EC4">
      <w:pPr>
        <w:autoSpaceDE w:val="0"/>
        <w:autoSpaceDN w:val="0"/>
        <w:adjustRightInd w:val="0"/>
        <w:spacing w:before="0" w:after="0"/>
        <w:jc w:val="left"/>
      </w:pPr>
    </w:p>
    <w:p w14:paraId="7AE711F0" w14:textId="061EA108" w:rsidR="004B4F41" w:rsidRDefault="004B4F41" w:rsidP="006D0530">
      <w:pPr>
        <w:autoSpaceDE w:val="0"/>
        <w:autoSpaceDN w:val="0"/>
        <w:adjustRightInd w:val="0"/>
        <w:spacing w:before="0" w:after="0"/>
      </w:pPr>
      <w:r>
        <w:t xml:space="preserve">Avis n° 21-A-07 du 10 mai 2021 relatif à un projet de règles de séparation comptable de la SA SNCF Voyageurs et de la SAS Fret SNCF </w:t>
      </w:r>
      <w:r w:rsidRPr="004B4F41">
        <w:t>de l’Autorité de la Concurrence</w:t>
      </w:r>
    </w:p>
    <w:p w14:paraId="060C7A56" w14:textId="77777777" w:rsidR="00D855E2" w:rsidRPr="000D1807" w:rsidRDefault="00D855E2" w:rsidP="00631EC4">
      <w:pPr>
        <w:autoSpaceDE w:val="0"/>
        <w:autoSpaceDN w:val="0"/>
        <w:adjustRightInd w:val="0"/>
        <w:spacing w:before="0" w:after="0"/>
        <w:jc w:val="left"/>
      </w:pPr>
    </w:p>
    <w:p w14:paraId="3027544D" w14:textId="2EBF1662" w:rsidR="006021BD" w:rsidRDefault="00597CD5" w:rsidP="0000746F">
      <w:pPr>
        <w:pStyle w:val="Sous-titre"/>
        <w:rPr>
          <w:rFonts w:ascii="Roboto" w:hAnsi="Roboto"/>
        </w:rPr>
      </w:pPr>
      <w:r w:rsidRPr="00AB226A">
        <w:rPr>
          <w:rFonts w:ascii="Roboto" w:hAnsi="Roboto"/>
        </w:rPr>
        <w:t>Som</w:t>
      </w:r>
      <w:r w:rsidRPr="00156A77">
        <w:rPr>
          <w:rFonts w:ascii="Roboto" w:hAnsi="Roboto"/>
          <w:color w:val="002060"/>
        </w:rPr>
        <w:t>ma</w:t>
      </w:r>
      <w:r w:rsidRPr="00AB226A">
        <w:rPr>
          <w:rFonts w:ascii="Roboto" w:hAnsi="Roboto"/>
        </w:rPr>
        <w:t>ire</w:t>
      </w:r>
    </w:p>
    <w:sdt>
      <w:sdtPr>
        <w:rPr>
          <w:b w:val="0"/>
          <w:caps w:val="0"/>
        </w:rPr>
        <w:id w:val="1667641539"/>
        <w:docPartObj>
          <w:docPartGallery w:val="Table of Contents"/>
          <w:docPartUnique/>
        </w:docPartObj>
      </w:sdtPr>
      <w:sdtEndPr/>
      <w:sdtContent>
        <w:p w14:paraId="353D7C06" w14:textId="50506DE0" w:rsidR="00DE0A40" w:rsidRDefault="00DE0A40" w:rsidP="00D458D1">
          <w:pPr>
            <w:pStyle w:val="TM1"/>
            <w:tabs>
              <w:tab w:val="left" w:pos="420"/>
              <w:tab w:val="right" w:leader="dot" w:pos="9270"/>
            </w:tabs>
            <w:rPr>
              <w:rStyle w:val="Lienhypertexte"/>
              <w:rFonts w:ascii="Roboto Medium" w:eastAsiaTheme="majorEastAsia" w:hAnsi="Roboto Medium" w:cstheme="majorBidi"/>
              <w:b w:val="0"/>
              <w:spacing w:val="5"/>
              <w:kern w:val="2"/>
              <w:sz w:val="24"/>
              <w:szCs w:val="52"/>
              <w14:ligatures w14:val="standardContextual"/>
            </w:rPr>
          </w:pPr>
          <w:r>
            <w:fldChar w:fldCharType="begin"/>
          </w:r>
          <w:r w:rsidR="00C4450E">
            <w:instrText>TOC \o "1-3" \h \z \u</w:instrText>
          </w:r>
          <w:r>
            <w:fldChar w:fldCharType="separate"/>
          </w:r>
          <w:hyperlink w:anchor="_Toc2054836874">
            <w:r w:rsidR="0C461036" w:rsidRPr="0C461036">
              <w:rPr>
                <w:rStyle w:val="Lienhypertexte"/>
              </w:rPr>
              <w:t>1.</w:t>
            </w:r>
            <w:r w:rsidR="00C4450E">
              <w:tab/>
            </w:r>
            <w:r w:rsidR="0C461036" w:rsidRPr="0C461036">
              <w:rPr>
                <w:rStyle w:val="Lienhypertexte"/>
              </w:rPr>
              <w:t>Contexte</w:t>
            </w:r>
            <w:r w:rsidR="00C4450E">
              <w:tab/>
            </w:r>
            <w:r w:rsidR="00C4450E">
              <w:fldChar w:fldCharType="begin"/>
            </w:r>
            <w:r w:rsidR="00C4450E">
              <w:instrText>PAGEREF _Toc2054836874 \h</w:instrText>
            </w:r>
            <w:r w:rsidR="00C4450E">
              <w:fldChar w:fldCharType="separate"/>
            </w:r>
            <w:r w:rsidR="0C461036" w:rsidRPr="0C461036">
              <w:rPr>
                <w:rStyle w:val="Lienhypertexte"/>
              </w:rPr>
              <w:t>2</w:t>
            </w:r>
            <w:r w:rsidR="00C4450E">
              <w:fldChar w:fldCharType="end"/>
            </w:r>
          </w:hyperlink>
        </w:p>
        <w:p w14:paraId="12CBC401" w14:textId="13202E85" w:rsidR="00DE0A40" w:rsidRDefault="00FE2334" w:rsidP="00D458D1">
          <w:pPr>
            <w:pStyle w:val="TM2"/>
            <w:rPr>
              <w:rStyle w:val="Lienhypertexte"/>
              <w:b/>
              <w:caps/>
              <w:noProof/>
              <w:kern w:val="2"/>
              <w14:ligatures w14:val="standardContextual"/>
            </w:rPr>
          </w:pPr>
          <w:hyperlink w:anchor="_Toc427329139">
            <w:r w:rsidR="0C461036" w:rsidRPr="0C461036">
              <w:rPr>
                <w:rStyle w:val="Lienhypertexte"/>
              </w:rPr>
              <w:t>1.1</w:t>
            </w:r>
            <w:r w:rsidR="00DE0A40">
              <w:tab/>
            </w:r>
            <w:r w:rsidR="0C461036" w:rsidRPr="0C461036">
              <w:rPr>
                <w:rStyle w:val="Lienhypertexte"/>
              </w:rPr>
              <w:t>La séparation comptable est une obligation légale, qui vise à garantir l’absence de discrimination, de subventions croisées, ou de distorsion de concurrence</w:t>
            </w:r>
            <w:r w:rsidR="00DE0A40">
              <w:tab/>
            </w:r>
            <w:r w:rsidR="00DE0A40">
              <w:fldChar w:fldCharType="begin"/>
            </w:r>
            <w:r w:rsidR="00DE0A40">
              <w:instrText>PAGEREF _Toc427329139 \h</w:instrText>
            </w:r>
            <w:r w:rsidR="00DE0A40">
              <w:fldChar w:fldCharType="separate"/>
            </w:r>
            <w:r w:rsidR="0C461036" w:rsidRPr="0C461036">
              <w:rPr>
                <w:rStyle w:val="Lienhypertexte"/>
              </w:rPr>
              <w:t>3</w:t>
            </w:r>
            <w:r w:rsidR="00DE0A40">
              <w:fldChar w:fldCharType="end"/>
            </w:r>
          </w:hyperlink>
        </w:p>
        <w:p w14:paraId="2E2B1B54" w14:textId="007F9802" w:rsidR="00DE0A40" w:rsidRDefault="00FE2334" w:rsidP="00D458D1">
          <w:pPr>
            <w:pStyle w:val="TM3"/>
            <w:tabs>
              <w:tab w:val="left" w:pos="1260"/>
              <w:tab w:val="right" w:leader="dot" w:pos="9270"/>
            </w:tabs>
            <w:rPr>
              <w:rStyle w:val="Lienhypertexte"/>
              <w:kern w:val="2"/>
              <w14:ligatures w14:val="standardContextual"/>
            </w:rPr>
          </w:pPr>
          <w:hyperlink w:anchor="_Toc2051896333">
            <w:r w:rsidR="0C461036" w:rsidRPr="0C461036">
              <w:rPr>
                <w:rStyle w:val="Lienhypertexte"/>
              </w:rPr>
              <w:t>1.1.1.</w:t>
            </w:r>
            <w:r w:rsidR="00DE0A40">
              <w:tab/>
            </w:r>
            <w:r w:rsidR="0C461036" w:rsidRPr="0C461036">
              <w:rPr>
                <w:rStyle w:val="Lienhypertexte"/>
              </w:rPr>
              <w:t>Aux termes de l’article L. 2133-4 du code des transports, l’Autorité doit approuver les règles de séparation comptable de SNCF Voyageurs</w:t>
            </w:r>
            <w:r w:rsidR="00DE0A40">
              <w:tab/>
            </w:r>
            <w:r w:rsidR="00DE0A40">
              <w:fldChar w:fldCharType="begin"/>
            </w:r>
            <w:r w:rsidR="00DE0A40">
              <w:instrText>PAGEREF _Toc2051896333 \h</w:instrText>
            </w:r>
            <w:r w:rsidR="00DE0A40">
              <w:fldChar w:fldCharType="separate"/>
            </w:r>
            <w:r w:rsidR="0C461036" w:rsidRPr="0C461036">
              <w:rPr>
                <w:rStyle w:val="Lienhypertexte"/>
              </w:rPr>
              <w:t>3</w:t>
            </w:r>
            <w:r w:rsidR="00DE0A40">
              <w:fldChar w:fldCharType="end"/>
            </w:r>
          </w:hyperlink>
        </w:p>
        <w:p w14:paraId="46C42B80" w14:textId="71576208" w:rsidR="00DE0A40" w:rsidRDefault="00FE2334" w:rsidP="00D458D1">
          <w:pPr>
            <w:pStyle w:val="TM3"/>
            <w:tabs>
              <w:tab w:val="left" w:pos="1260"/>
              <w:tab w:val="right" w:leader="dot" w:pos="9270"/>
            </w:tabs>
            <w:rPr>
              <w:rStyle w:val="Lienhypertexte"/>
              <w:kern w:val="2"/>
              <w14:ligatures w14:val="standardContextual"/>
            </w:rPr>
          </w:pPr>
          <w:hyperlink w:anchor="_Toc1141782894">
            <w:r w:rsidR="0C461036" w:rsidRPr="0C461036">
              <w:rPr>
                <w:rStyle w:val="Lienhypertexte"/>
              </w:rPr>
              <w:t>1.1.2.</w:t>
            </w:r>
            <w:r w:rsidR="00DE0A40">
              <w:tab/>
            </w:r>
            <w:r w:rsidR="0C461036" w:rsidRPr="0C461036">
              <w:rPr>
                <w:rStyle w:val="Lienhypertexte"/>
              </w:rPr>
              <w:t>La séparation comptable est un outil essentiel de régulation pour l’Autorité dans un contexte d’ouverture à la concurrence</w:t>
            </w:r>
            <w:r w:rsidR="00DE0A40">
              <w:tab/>
            </w:r>
            <w:r w:rsidR="00DE0A40">
              <w:fldChar w:fldCharType="begin"/>
            </w:r>
            <w:r w:rsidR="00DE0A40">
              <w:instrText>PAGEREF _Toc1141782894 \h</w:instrText>
            </w:r>
            <w:r w:rsidR="00DE0A40">
              <w:fldChar w:fldCharType="separate"/>
            </w:r>
            <w:r w:rsidR="0C461036" w:rsidRPr="0C461036">
              <w:rPr>
                <w:rStyle w:val="Lienhypertexte"/>
              </w:rPr>
              <w:t>3</w:t>
            </w:r>
            <w:r w:rsidR="00DE0A40">
              <w:fldChar w:fldCharType="end"/>
            </w:r>
          </w:hyperlink>
        </w:p>
        <w:p w14:paraId="6EC59A00" w14:textId="2B85A063" w:rsidR="00DE0A40" w:rsidRDefault="00FE2334" w:rsidP="00D458D1">
          <w:pPr>
            <w:pStyle w:val="TM2"/>
            <w:rPr>
              <w:rStyle w:val="Lienhypertexte"/>
              <w:noProof/>
              <w:kern w:val="2"/>
              <w14:ligatures w14:val="standardContextual"/>
            </w:rPr>
          </w:pPr>
          <w:hyperlink w:anchor="_Toc689693614">
            <w:r w:rsidR="0C461036" w:rsidRPr="0C461036">
              <w:rPr>
                <w:rStyle w:val="Lienhypertexte"/>
              </w:rPr>
              <w:t>1.2</w:t>
            </w:r>
            <w:r w:rsidR="00DE0A40">
              <w:tab/>
            </w:r>
            <w:r w:rsidR="0C461036" w:rsidRPr="0C461036">
              <w:rPr>
                <w:rStyle w:val="Lienhypertexte"/>
              </w:rPr>
              <w:t>L’ADLC et l’Autorité ont estimé en 2021 que les règles de séparation comptables de SNCF Voyageurs étaient conformes aux textes applicables mais pouvaient être améliorées</w:t>
            </w:r>
            <w:r w:rsidR="00DE0A40">
              <w:tab/>
            </w:r>
            <w:r w:rsidR="00DE0A40">
              <w:fldChar w:fldCharType="begin"/>
            </w:r>
            <w:r w:rsidR="00DE0A40">
              <w:instrText>PAGEREF _Toc689693614 \h</w:instrText>
            </w:r>
            <w:r w:rsidR="00DE0A40">
              <w:fldChar w:fldCharType="separate"/>
            </w:r>
            <w:r w:rsidR="0C461036" w:rsidRPr="0C461036">
              <w:rPr>
                <w:rStyle w:val="Lienhypertexte"/>
              </w:rPr>
              <w:t>4</w:t>
            </w:r>
            <w:r w:rsidR="00DE0A40">
              <w:fldChar w:fldCharType="end"/>
            </w:r>
          </w:hyperlink>
        </w:p>
        <w:p w14:paraId="2DB1DD4C" w14:textId="26545CE8" w:rsidR="00DE0A40" w:rsidRDefault="00FE2334" w:rsidP="00D458D1">
          <w:pPr>
            <w:pStyle w:val="TM3"/>
            <w:tabs>
              <w:tab w:val="left" w:pos="1260"/>
              <w:tab w:val="right" w:leader="dot" w:pos="9270"/>
            </w:tabs>
            <w:rPr>
              <w:rStyle w:val="Lienhypertexte"/>
              <w:kern w:val="2"/>
              <w14:ligatures w14:val="standardContextual"/>
            </w:rPr>
          </w:pPr>
          <w:hyperlink w:anchor="_Toc415663611">
            <w:r w:rsidR="0C461036" w:rsidRPr="0C461036">
              <w:rPr>
                <w:rStyle w:val="Lienhypertexte"/>
              </w:rPr>
              <w:t>1.2.1.</w:t>
            </w:r>
            <w:r w:rsidR="00DE0A40">
              <w:tab/>
            </w:r>
            <w:r w:rsidR="0C461036" w:rsidRPr="0C461036">
              <w:rPr>
                <w:rStyle w:val="Lienhypertexte"/>
              </w:rPr>
              <w:t>L’Autorité de la Concurrence a approuvé les règles de séparation comptable de SNCF Voyageurs, tout en formulant un certain nombre de recommandations</w:t>
            </w:r>
            <w:r w:rsidR="00DE0A40">
              <w:tab/>
            </w:r>
            <w:r w:rsidR="00DE0A40">
              <w:fldChar w:fldCharType="begin"/>
            </w:r>
            <w:r w:rsidR="00DE0A40">
              <w:instrText>PAGEREF _Toc415663611 \h</w:instrText>
            </w:r>
            <w:r w:rsidR="00DE0A40">
              <w:fldChar w:fldCharType="separate"/>
            </w:r>
            <w:r w:rsidR="0C461036" w:rsidRPr="0C461036">
              <w:rPr>
                <w:rStyle w:val="Lienhypertexte"/>
              </w:rPr>
              <w:t>4</w:t>
            </w:r>
            <w:r w:rsidR="00DE0A40">
              <w:fldChar w:fldCharType="end"/>
            </w:r>
          </w:hyperlink>
        </w:p>
        <w:p w14:paraId="1B838AA6" w14:textId="1BCE2BAF" w:rsidR="00DE0A40" w:rsidRDefault="00FE2334" w:rsidP="00D458D1">
          <w:pPr>
            <w:pStyle w:val="TM3"/>
            <w:tabs>
              <w:tab w:val="left" w:pos="1260"/>
              <w:tab w:val="right" w:leader="dot" w:pos="9270"/>
            </w:tabs>
            <w:rPr>
              <w:rStyle w:val="Lienhypertexte"/>
              <w:kern w:val="2"/>
              <w14:ligatures w14:val="standardContextual"/>
            </w:rPr>
          </w:pPr>
          <w:hyperlink w:anchor="_Toc134156757">
            <w:r w:rsidR="0C461036" w:rsidRPr="0C461036">
              <w:rPr>
                <w:rStyle w:val="Lienhypertexte"/>
              </w:rPr>
              <w:t>1.2.2.</w:t>
            </w:r>
            <w:r w:rsidR="00DE0A40">
              <w:tab/>
            </w:r>
            <w:r w:rsidR="0C461036" w:rsidRPr="0C461036">
              <w:rPr>
                <w:rStyle w:val="Lienhypertexte"/>
              </w:rPr>
              <w:t>L’Autorité a validé les règles de séparation comptable de SNCF Voyageurs, tout en lui demandant de se conformer aux recommandations de l’ADLC</w:t>
            </w:r>
            <w:r w:rsidR="00DE0A40">
              <w:tab/>
            </w:r>
            <w:r w:rsidR="00DE0A40">
              <w:fldChar w:fldCharType="begin"/>
            </w:r>
            <w:r w:rsidR="00DE0A40">
              <w:instrText>PAGEREF _Toc134156757 \h</w:instrText>
            </w:r>
            <w:r w:rsidR="00DE0A40">
              <w:fldChar w:fldCharType="separate"/>
            </w:r>
            <w:r w:rsidR="0C461036" w:rsidRPr="0C461036">
              <w:rPr>
                <w:rStyle w:val="Lienhypertexte"/>
              </w:rPr>
              <w:t>5</w:t>
            </w:r>
            <w:r w:rsidR="00DE0A40">
              <w:fldChar w:fldCharType="end"/>
            </w:r>
          </w:hyperlink>
        </w:p>
        <w:p w14:paraId="206AB436" w14:textId="37E2A02A" w:rsidR="00DE0A40" w:rsidRDefault="00FE2334" w:rsidP="00D458D1">
          <w:pPr>
            <w:pStyle w:val="TM1"/>
            <w:tabs>
              <w:tab w:val="left" w:pos="420"/>
              <w:tab w:val="right" w:leader="dot" w:pos="9270"/>
            </w:tabs>
            <w:rPr>
              <w:rStyle w:val="Lienhypertexte"/>
              <w:kern w:val="2"/>
              <w14:ligatures w14:val="standardContextual"/>
            </w:rPr>
          </w:pPr>
          <w:hyperlink w:anchor="_Toc1012609687">
            <w:r w:rsidR="0C461036" w:rsidRPr="0C461036">
              <w:rPr>
                <w:rStyle w:val="Lienhypertexte"/>
              </w:rPr>
              <w:t>2.</w:t>
            </w:r>
            <w:r w:rsidR="00DE0A40">
              <w:tab/>
            </w:r>
            <w:r w:rsidR="0C461036" w:rsidRPr="0C461036">
              <w:rPr>
                <w:rStyle w:val="Lienhypertexte"/>
              </w:rPr>
              <w:t>Les évolutions apportées aux règles de séparation comptable de SNCF Voyageurs</w:t>
            </w:r>
            <w:r w:rsidR="00DE0A40">
              <w:tab/>
            </w:r>
            <w:r w:rsidR="00DE0A40">
              <w:fldChar w:fldCharType="begin"/>
            </w:r>
            <w:r w:rsidR="00DE0A40">
              <w:instrText>PAGEREF _Toc1012609687 \h</w:instrText>
            </w:r>
            <w:r w:rsidR="00DE0A40">
              <w:fldChar w:fldCharType="separate"/>
            </w:r>
            <w:r w:rsidR="0C461036" w:rsidRPr="0C461036">
              <w:rPr>
                <w:rStyle w:val="Lienhypertexte"/>
              </w:rPr>
              <w:t>5</w:t>
            </w:r>
            <w:r w:rsidR="00DE0A40">
              <w:fldChar w:fldCharType="end"/>
            </w:r>
          </w:hyperlink>
        </w:p>
        <w:p w14:paraId="38902E0B" w14:textId="296F0B67" w:rsidR="00DE0A40" w:rsidRDefault="00FE2334" w:rsidP="00D458D1">
          <w:pPr>
            <w:pStyle w:val="TM2"/>
            <w:rPr>
              <w:rStyle w:val="Lienhypertexte"/>
              <w:b/>
              <w:caps/>
              <w:noProof/>
              <w:kern w:val="2"/>
              <w14:ligatures w14:val="standardContextual"/>
            </w:rPr>
          </w:pPr>
          <w:hyperlink w:anchor="_Toc430832783">
            <w:r w:rsidR="0C461036" w:rsidRPr="0C461036">
              <w:rPr>
                <w:rStyle w:val="Lienhypertexte"/>
              </w:rPr>
              <w:t>2.1</w:t>
            </w:r>
            <w:r w:rsidR="00DE0A40">
              <w:tab/>
            </w:r>
            <w:r w:rsidR="0C461036" w:rsidRPr="0C461036">
              <w:rPr>
                <w:rStyle w:val="Lienhypertexte"/>
              </w:rPr>
              <w:t>SNCF Voyageurs a apporté des modifications marginales à ses règles de séparation comptable</w:t>
            </w:r>
            <w:r w:rsidR="00DE0A40">
              <w:tab/>
            </w:r>
            <w:r w:rsidR="00DE0A40">
              <w:fldChar w:fldCharType="begin"/>
            </w:r>
            <w:r w:rsidR="00DE0A40">
              <w:instrText>PAGEREF _Toc430832783 \h</w:instrText>
            </w:r>
            <w:r w:rsidR="00DE0A40">
              <w:fldChar w:fldCharType="separate"/>
            </w:r>
            <w:r w:rsidR="0C461036" w:rsidRPr="0C461036">
              <w:rPr>
                <w:rStyle w:val="Lienhypertexte"/>
              </w:rPr>
              <w:t>5</w:t>
            </w:r>
            <w:r w:rsidR="00DE0A40">
              <w:fldChar w:fldCharType="end"/>
            </w:r>
          </w:hyperlink>
        </w:p>
        <w:p w14:paraId="0E433F34" w14:textId="1C320AFC" w:rsidR="00DE0A40" w:rsidRDefault="00FE2334" w:rsidP="00D458D1">
          <w:pPr>
            <w:pStyle w:val="TM2"/>
            <w:rPr>
              <w:rStyle w:val="Lienhypertexte"/>
              <w:noProof/>
              <w:kern w:val="2"/>
              <w14:ligatures w14:val="standardContextual"/>
            </w:rPr>
          </w:pPr>
          <w:hyperlink w:anchor="_Toc1390508128">
            <w:r w:rsidR="0C461036" w:rsidRPr="0C461036">
              <w:rPr>
                <w:rStyle w:val="Lienhypertexte"/>
              </w:rPr>
              <w:t>2.2</w:t>
            </w:r>
            <w:r w:rsidR="00DE0A40">
              <w:tab/>
            </w:r>
            <w:r w:rsidR="0C461036" w:rsidRPr="0C461036">
              <w:rPr>
                <w:rStyle w:val="Lienhypertexte"/>
              </w:rPr>
              <w:t>SNCF Voyageurs introduit, pour les activités de distribution et d’escale, une nouvelle méthode de facturation des prestations non régulées reposant sur les coûts attribuables à chaque activité</w:t>
            </w:r>
            <w:r w:rsidR="00DE0A40">
              <w:tab/>
            </w:r>
            <w:r w:rsidR="00DE0A40">
              <w:fldChar w:fldCharType="begin"/>
            </w:r>
            <w:r w:rsidR="00DE0A40">
              <w:instrText>PAGEREF _Toc1390508128 \h</w:instrText>
            </w:r>
            <w:r w:rsidR="00DE0A40">
              <w:fldChar w:fldCharType="separate"/>
            </w:r>
            <w:r w:rsidR="0C461036" w:rsidRPr="0C461036">
              <w:rPr>
                <w:rStyle w:val="Lienhypertexte"/>
              </w:rPr>
              <w:t>6</w:t>
            </w:r>
            <w:r w:rsidR="00DE0A40">
              <w:fldChar w:fldCharType="end"/>
            </w:r>
          </w:hyperlink>
        </w:p>
        <w:p w14:paraId="44DC7440" w14:textId="25ED89C4" w:rsidR="00DE0A40" w:rsidRDefault="00FE2334" w:rsidP="00D458D1">
          <w:pPr>
            <w:pStyle w:val="TM3"/>
            <w:tabs>
              <w:tab w:val="left" w:pos="1260"/>
              <w:tab w:val="right" w:leader="dot" w:pos="9270"/>
            </w:tabs>
            <w:rPr>
              <w:rStyle w:val="Lienhypertexte"/>
              <w:kern w:val="2"/>
              <w14:ligatures w14:val="standardContextual"/>
            </w:rPr>
          </w:pPr>
          <w:hyperlink w:anchor="_Toc1725724851">
            <w:r w:rsidR="0C461036" w:rsidRPr="0C461036">
              <w:rPr>
                <w:rStyle w:val="Lienhypertexte"/>
              </w:rPr>
              <w:t>2.2.1.</w:t>
            </w:r>
            <w:r w:rsidR="00DE0A40">
              <w:tab/>
            </w:r>
            <w:r w:rsidR="0C461036" w:rsidRPr="0C461036">
              <w:rPr>
                <w:rStyle w:val="Lienhypertexte"/>
              </w:rPr>
              <w:t>La facturation des prestations de distribution est désormais réalisée sur la base des coûts attribuables à chaque activité, en faisant supporter les coûts fixes communs par l’utilisateur principal</w:t>
            </w:r>
            <w:r w:rsidR="00DE0A40">
              <w:tab/>
            </w:r>
            <w:r w:rsidR="00DE0A40">
              <w:fldChar w:fldCharType="begin"/>
            </w:r>
            <w:r w:rsidR="00DE0A40">
              <w:instrText>PAGEREF _Toc1725724851 \h</w:instrText>
            </w:r>
            <w:r w:rsidR="00DE0A40">
              <w:fldChar w:fldCharType="separate"/>
            </w:r>
            <w:r w:rsidR="0C461036" w:rsidRPr="0C461036">
              <w:rPr>
                <w:rStyle w:val="Lienhypertexte"/>
              </w:rPr>
              <w:t>7</w:t>
            </w:r>
            <w:r w:rsidR="00DE0A40">
              <w:fldChar w:fldCharType="end"/>
            </w:r>
          </w:hyperlink>
        </w:p>
        <w:p w14:paraId="5864843B" w14:textId="5362B2C2" w:rsidR="00DE0A40" w:rsidRDefault="00FE2334" w:rsidP="00D458D1">
          <w:pPr>
            <w:pStyle w:val="TM3"/>
            <w:tabs>
              <w:tab w:val="left" w:pos="1260"/>
              <w:tab w:val="right" w:leader="dot" w:pos="9270"/>
            </w:tabs>
            <w:rPr>
              <w:rStyle w:val="Lienhypertexte"/>
              <w:kern w:val="2"/>
              <w14:ligatures w14:val="standardContextual"/>
            </w:rPr>
          </w:pPr>
          <w:hyperlink w:anchor="_Toc1822178398">
            <w:r w:rsidR="0C461036" w:rsidRPr="0C461036">
              <w:rPr>
                <w:rStyle w:val="Lienhypertexte"/>
              </w:rPr>
              <w:t>2.2.2.</w:t>
            </w:r>
            <w:r w:rsidR="00DE0A40">
              <w:tab/>
            </w:r>
            <w:r w:rsidR="0C461036" w:rsidRPr="0C461036">
              <w:rPr>
                <w:rStyle w:val="Lienhypertexte"/>
              </w:rPr>
              <w:t>La facturation des prestations d’escale est désormais réalisée sur la base des coûts attribuables à chaque activité, en allouant les coûts communs au prorata des coûts attribuables</w:t>
            </w:r>
            <w:r w:rsidR="00DE0A40">
              <w:tab/>
            </w:r>
            <w:r w:rsidR="00DE0A40">
              <w:fldChar w:fldCharType="begin"/>
            </w:r>
            <w:r w:rsidR="00DE0A40">
              <w:instrText>PAGEREF _Toc1822178398 \h</w:instrText>
            </w:r>
            <w:r w:rsidR="00DE0A40">
              <w:fldChar w:fldCharType="separate"/>
            </w:r>
            <w:r w:rsidR="0C461036" w:rsidRPr="0C461036">
              <w:rPr>
                <w:rStyle w:val="Lienhypertexte"/>
              </w:rPr>
              <w:t>8</w:t>
            </w:r>
            <w:r w:rsidR="00DE0A40">
              <w:fldChar w:fldCharType="end"/>
            </w:r>
          </w:hyperlink>
        </w:p>
        <w:p w14:paraId="2331A221" w14:textId="204D2946" w:rsidR="00DE0A40" w:rsidRDefault="00FE2334" w:rsidP="00D458D1">
          <w:pPr>
            <w:pStyle w:val="TM2"/>
            <w:rPr>
              <w:rStyle w:val="Lienhypertexte"/>
              <w:noProof/>
              <w:kern w:val="2"/>
              <w14:ligatures w14:val="standardContextual"/>
            </w:rPr>
          </w:pPr>
          <w:hyperlink w:anchor="_Toc987694068">
            <w:r w:rsidR="0C461036" w:rsidRPr="0C461036">
              <w:rPr>
                <w:rStyle w:val="Lienhypertexte"/>
              </w:rPr>
              <w:t>2.3</w:t>
            </w:r>
            <w:r w:rsidR="00DE0A40">
              <w:tab/>
            </w:r>
            <w:r w:rsidR="0C461036" w:rsidRPr="0C461036">
              <w:rPr>
                <w:rStyle w:val="Lienhypertexte"/>
              </w:rPr>
              <w:t>SNCF Voyageurs propose de modifier ses règles de séparation comptable concernant la détermination des charges financières de moyen-long terme</w:t>
            </w:r>
            <w:r w:rsidR="00DE0A40">
              <w:tab/>
            </w:r>
            <w:r w:rsidR="00DE0A40">
              <w:fldChar w:fldCharType="begin"/>
            </w:r>
            <w:r w:rsidR="00DE0A40">
              <w:instrText>PAGEREF _Toc987694068 \h</w:instrText>
            </w:r>
            <w:r w:rsidR="00DE0A40">
              <w:fldChar w:fldCharType="separate"/>
            </w:r>
            <w:r w:rsidR="0C461036" w:rsidRPr="0C461036">
              <w:rPr>
                <w:rStyle w:val="Lienhypertexte"/>
              </w:rPr>
              <w:t>9</w:t>
            </w:r>
            <w:r w:rsidR="00DE0A40">
              <w:fldChar w:fldCharType="end"/>
            </w:r>
          </w:hyperlink>
        </w:p>
        <w:p w14:paraId="42258589" w14:textId="436EFA4D" w:rsidR="00DE0A40" w:rsidRDefault="00FE2334" w:rsidP="00D458D1">
          <w:pPr>
            <w:pStyle w:val="TM3"/>
            <w:tabs>
              <w:tab w:val="left" w:pos="1260"/>
              <w:tab w:val="right" w:leader="dot" w:pos="9270"/>
            </w:tabs>
            <w:rPr>
              <w:rStyle w:val="Lienhypertexte"/>
              <w:kern w:val="2"/>
              <w14:ligatures w14:val="standardContextual"/>
            </w:rPr>
          </w:pPr>
          <w:hyperlink w:anchor="_Toc484002271">
            <w:r w:rsidR="0C461036" w:rsidRPr="0C461036">
              <w:rPr>
                <w:rStyle w:val="Lienhypertexte"/>
              </w:rPr>
              <w:t>2.3.1.</w:t>
            </w:r>
            <w:r w:rsidR="00DE0A40">
              <w:tab/>
            </w:r>
            <w:r w:rsidR="0C461036" w:rsidRPr="0C461036">
              <w:rPr>
                <w:rStyle w:val="Lienhypertexte"/>
              </w:rPr>
              <w:t>SNCF Voyageurs prévoit une réalisation pluriannuelle des notations financières des activités comptablement séparées et la détermination des taux à moyen-long terme associés par un cabinet de conseil externe</w:t>
            </w:r>
            <w:r w:rsidR="00DE0A40">
              <w:tab/>
            </w:r>
            <w:r w:rsidR="00DE0A40">
              <w:fldChar w:fldCharType="begin"/>
            </w:r>
            <w:r w:rsidR="00DE0A40">
              <w:instrText>PAGEREF _Toc484002271 \h</w:instrText>
            </w:r>
            <w:r w:rsidR="00DE0A40">
              <w:fldChar w:fldCharType="separate"/>
            </w:r>
            <w:r w:rsidR="0C461036" w:rsidRPr="0C461036">
              <w:rPr>
                <w:rStyle w:val="Lienhypertexte"/>
              </w:rPr>
              <w:t>9</w:t>
            </w:r>
            <w:r w:rsidR="00DE0A40">
              <w:fldChar w:fldCharType="end"/>
            </w:r>
          </w:hyperlink>
        </w:p>
        <w:p w14:paraId="34809F6E" w14:textId="63AD4D88" w:rsidR="00DE0A40" w:rsidRDefault="00FE2334" w:rsidP="00D458D1">
          <w:pPr>
            <w:pStyle w:val="TM3"/>
            <w:tabs>
              <w:tab w:val="left" w:pos="1260"/>
              <w:tab w:val="right" w:leader="dot" w:pos="9270"/>
            </w:tabs>
            <w:rPr>
              <w:rStyle w:val="Lienhypertexte"/>
              <w:kern w:val="2"/>
              <w14:ligatures w14:val="standardContextual"/>
            </w:rPr>
          </w:pPr>
          <w:hyperlink w:anchor="_Toc230969757">
            <w:r w:rsidR="0C461036" w:rsidRPr="0C461036">
              <w:rPr>
                <w:rStyle w:val="Lienhypertexte"/>
              </w:rPr>
              <w:t>2.3.2.</w:t>
            </w:r>
            <w:r w:rsidR="00DE0A40">
              <w:tab/>
            </w:r>
            <w:r w:rsidR="0C461036" w:rsidRPr="0C461036">
              <w:rPr>
                <w:rStyle w:val="Lienhypertexte"/>
              </w:rPr>
              <w:t>SNCF Voyageurs propose de prendre en compte, pour le taux de financement de moyen-long terme, une maturité équivalente à la durée de vie résiduelle réelle moyenne d’utilisation des actifs plafonnée à 10 ans</w:t>
            </w:r>
            <w:r w:rsidR="00DE0A40">
              <w:tab/>
            </w:r>
            <w:r w:rsidR="00DE0A40">
              <w:fldChar w:fldCharType="begin"/>
            </w:r>
            <w:r w:rsidR="00DE0A40">
              <w:instrText>PAGEREF _Toc230969757 \h</w:instrText>
            </w:r>
            <w:r w:rsidR="00DE0A40">
              <w:fldChar w:fldCharType="separate"/>
            </w:r>
            <w:r w:rsidR="0C461036" w:rsidRPr="0C461036">
              <w:rPr>
                <w:rStyle w:val="Lienhypertexte"/>
              </w:rPr>
              <w:t>10</w:t>
            </w:r>
            <w:r w:rsidR="00DE0A40">
              <w:fldChar w:fldCharType="end"/>
            </w:r>
          </w:hyperlink>
        </w:p>
        <w:p w14:paraId="4570FD73" w14:textId="4B38DFF4" w:rsidR="00DE0A40" w:rsidRDefault="00FE2334" w:rsidP="00D458D1">
          <w:pPr>
            <w:pStyle w:val="TM3"/>
            <w:tabs>
              <w:tab w:val="left" w:pos="1260"/>
              <w:tab w:val="right" w:leader="dot" w:pos="9270"/>
            </w:tabs>
            <w:rPr>
              <w:rStyle w:val="Lienhypertexte"/>
              <w:kern w:val="2"/>
              <w14:ligatures w14:val="standardContextual"/>
            </w:rPr>
          </w:pPr>
          <w:hyperlink w:anchor="_Toc1308629528">
            <w:r w:rsidR="0C461036" w:rsidRPr="0C461036">
              <w:rPr>
                <w:rStyle w:val="Lienhypertexte"/>
              </w:rPr>
              <w:t>2.3.3.</w:t>
            </w:r>
            <w:r w:rsidR="00DE0A40">
              <w:tab/>
            </w:r>
            <w:r w:rsidR="0C461036" w:rsidRPr="0C461036">
              <w:rPr>
                <w:rStyle w:val="Lienhypertexte"/>
              </w:rPr>
              <w:t>SNCF Voyageurs propose d’inscrire dans les nouvelles règles la mise en place d’un compte courant financier entre les activités conventionnées et l’activité « Corporate »</w:t>
            </w:r>
            <w:r w:rsidR="00DE0A40">
              <w:tab/>
            </w:r>
            <w:r w:rsidR="00DE0A40">
              <w:fldChar w:fldCharType="begin"/>
            </w:r>
            <w:r w:rsidR="00DE0A40">
              <w:instrText>PAGEREF _Toc1308629528 \h</w:instrText>
            </w:r>
            <w:r w:rsidR="00DE0A40">
              <w:fldChar w:fldCharType="separate"/>
            </w:r>
            <w:r w:rsidR="0C461036" w:rsidRPr="0C461036">
              <w:rPr>
                <w:rStyle w:val="Lienhypertexte"/>
              </w:rPr>
              <w:t>11</w:t>
            </w:r>
            <w:r w:rsidR="00DE0A40">
              <w:fldChar w:fldCharType="end"/>
            </w:r>
          </w:hyperlink>
          <w:r w:rsidR="00DE0A40">
            <w:fldChar w:fldCharType="end"/>
          </w:r>
        </w:p>
      </w:sdtContent>
    </w:sdt>
    <w:p w14:paraId="14FA9FA1" w14:textId="0181DFA2" w:rsidR="00C4450E" w:rsidRDefault="00C4450E"/>
    <w:p w14:paraId="7F978D22" w14:textId="5E15915D" w:rsidR="00C4450E" w:rsidRDefault="00C4450E">
      <w:pPr>
        <w:spacing w:before="0" w:after="0" w:line="280" w:lineRule="atLeast"/>
        <w:jc w:val="left"/>
      </w:pPr>
      <w:r>
        <w:br w:type="page"/>
      </w:r>
    </w:p>
    <w:p w14:paraId="21BA5D67" w14:textId="75E3B57B" w:rsidR="00AE15E3" w:rsidRPr="00AB226A" w:rsidRDefault="00D568BC" w:rsidP="000E140E">
      <w:pPr>
        <w:pStyle w:val="Titre1"/>
      </w:pPr>
      <w:bookmarkStart w:id="0" w:name="_Toc157421576"/>
      <w:bookmarkStart w:id="1" w:name="_Toc2054836874"/>
      <w:r>
        <w:t>Contexte</w:t>
      </w:r>
      <w:bookmarkEnd w:id="0"/>
      <w:bookmarkEnd w:id="1"/>
    </w:p>
    <w:p w14:paraId="6CC16C81" w14:textId="3AD3AECF" w:rsidR="00E61AE1" w:rsidRPr="00597621" w:rsidRDefault="00B002DA" w:rsidP="000A372B">
      <w:pPr>
        <w:pStyle w:val="Titre2"/>
      </w:pPr>
      <w:bookmarkStart w:id="2" w:name="_Toc156312797"/>
      <w:bookmarkStart w:id="3" w:name="_Toc157421577"/>
      <w:bookmarkStart w:id="4" w:name="_Toc427329139"/>
      <w:r>
        <w:t xml:space="preserve">La </w:t>
      </w:r>
      <w:r w:rsidR="00D568BC">
        <w:t>séparation comptable</w:t>
      </w:r>
      <w:r>
        <w:t xml:space="preserve"> est une obligation légale, qui vise à garantir l’absence de discrimination</w:t>
      </w:r>
      <w:r w:rsidR="004905D0">
        <w:t xml:space="preserve">, </w:t>
      </w:r>
      <w:r>
        <w:t>de subventions croisées</w:t>
      </w:r>
      <w:bookmarkEnd w:id="2"/>
      <w:r w:rsidR="004905D0">
        <w:t xml:space="preserve"> </w:t>
      </w:r>
      <w:r w:rsidR="000870C4">
        <w:t>et</w:t>
      </w:r>
      <w:r w:rsidR="004905D0">
        <w:t xml:space="preserve"> de distorsion de concurrence</w:t>
      </w:r>
      <w:bookmarkEnd w:id="3"/>
      <w:bookmarkEnd w:id="4"/>
    </w:p>
    <w:p w14:paraId="36C4AB57" w14:textId="04E21EB7" w:rsidR="006C7DDE" w:rsidRPr="00DD6AA5" w:rsidRDefault="00607E5C" w:rsidP="000A372B">
      <w:pPr>
        <w:pStyle w:val="Titre3"/>
      </w:pPr>
      <w:bookmarkStart w:id="5" w:name="_Toc156312798"/>
      <w:bookmarkStart w:id="6" w:name="_Toc157421578"/>
      <w:bookmarkStart w:id="7" w:name="_Toc2051896333"/>
      <w:r>
        <w:t>Aux termes de l’article L.</w:t>
      </w:r>
      <w:r w:rsidR="005A31A6">
        <w:t> </w:t>
      </w:r>
      <w:r>
        <w:t xml:space="preserve">2133-4 du code des transports, </w:t>
      </w:r>
      <w:r w:rsidR="0041219D">
        <w:t>l’Autorité doit approuver les règles de</w:t>
      </w:r>
      <w:r>
        <w:t xml:space="preserve"> séparation comptable </w:t>
      </w:r>
      <w:bookmarkEnd w:id="5"/>
      <w:r w:rsidR="0041219D">
        <w:t>de SNCF Voyageurs</w:t>
      </w:r>
      <w:bookmarkEnd w:id="6"/>
      <w:bookmarkEnd w:id="7"/>
    </w:p>
    <w:p w14:paraId="0CFD12A3" w14:textId="0A5671B2" w:rsidR="0095353C" w:rsidRDefault="0095353C" w:rsidP="0095353C">
      <w:pPr>
        <w:pStyle w:val="Paragraphenumrot"/>
      </w:pPr>
      <w:r>
        <w:t>Le code des transports prévoit une obligation de séparation comptable de différentes activités ferroviaires</w:t>
      </w:r>
      <w:r w:rsidR="009130F5">
        <w:t> </w:t>
      </w:r>
      <w:r>
        <w:t xml:space="preserve">: </w:t>
      </w:r>
    </w:p>
    <w:p w14:paraId="63C0B315" w14:textId="45139784" w:rsidR="0095353C" w:rsidRDefault="009130F5" w:rsidP="0095353C">
      <w:pPr>
        <w:pStyle w:val="Listetirets"/>
      </w:pPr>
      <w:proofErr w:type="gramStart"/>
      <w:r>
        <w:t>s</w:t>
      </w:r>
      <w:r w:rsidR="0095353C">
        <w:t>éparation</w:t>
      </w:r>
      <w:proofErr w:type="gramEnd"/>
      <w:r w:rsidR="0095353C">
        <w:t xml:space="preserve"> entre la gestion de l’infrastructure et l’exploitation de services ferroviaires</w:t>
      </w:r>
      <w:r w:rsidR="0041219D" w:rsidRPr="00C40A2C">
        <w:rPr>
          <w:rStyle w:val="Appelnotedebasdep"/>
        </w:rPr>
        <w:footnoteReference w:id="2"/>
      </w:r>
      <w:r>
        <w:t> </w:t>
      </w:r>
      <w:r w:rsidR="0095353C">
        <w:t xml:space="preserve">; </w:t>
      </w:r>
    </w:p>
    <w:p w14:paraId="72A3227B" w14:textId="30852751" w:rsidR="0095353C" w:rsidRDefault="009130F5" w:rsidP="0095353C">
      <w:pPr>
        <w:pStyle w:val="Listetirets"/>
      </w:pPr>
      <w:proofErr w:type="gramStart"/>
      <w:r>
        <w:t>s</w:t>
      </w:r>
      <w:r w:rsidR="0095353C">
        <w:t>éparation</w:t>
      </w:r>
      <w:proofErr w:type="gramEnd"/>
      <w:r w:rsidR="0095353C">
        <w:t xml:space="preserve"> entre la gestion des gares de voyageurs et les activités d’exploitation d’installations de service et d’exploitation de services ferroviaires</w:t>
      </w:r>
      <w:r w:rsidR="0041219D" w:rsidRPr="00C40A2C">
        <w:rPr>
          <w:rStyle w:val="Appelnotedebasdep"/>
        </w:rPr>
        <w:footnoteReference w:id="3"/>
      </w:r>
      <w:r>
        <w:t> </w:t>
      </w:r>
      <w:r w:rsidR="0095353C">
        <w:t xml:space="preserve">; </w:t>
      </w:r>
    </w:p>
    <w:p w14:paraId="776EAEE2" w14:textId="7F422890" w:rsidR="0095353C" w:rsidRDefault="009130F5" w:rsidP="0095353C">
      <w:pPr>
        <w:pStyle w:val="Listetirets"/>
      </w:pPr>
      <w:proofErr w:type="gramStart"/>
      <w:r>
        <w:t>s</w:t>
      </w:r>
      <w:r w:rsidR="0095353C">
        <w:t>éparation</w:t>
      </w:r>
      <w:proofErr w:type="gramEnd"/>
      <w:r w:rsidR="0095353C">
        <w:t xml:space="preserve"> entre les activités de transport de personnes et </w:t>
      </w:r>
      <w:r w:rsidR="00C611E6">
        <w:t xml:space="preserve">de transport </w:t>
      </w:r>
      <w:r w:rsidR="0095353C">
        <w:t>de marchandises</w:t>
      </w:r>
      <w:r w:rsidR="0041219D" w:rsidRPr="00C40A2C">
        <w:rPr>
          <w:rStyle w:val="Appelnotedebasdep"/>
        </w:rPr>
        <w:footnoteReference w:id="4"/>
      </w:r>
      <w:r>
        <w:t> ;</w:t>
      </w:r>
    </w:p>
    <w:p w14:paraId="6C380B03" w14:textId="606DC211" w:rsidR="0095353C" w:rsidRDefault="009130F5" w:rsidP="0095353C">
      <w:pPr>
        <w:pStyle w:val="Listetirets"/>
      </w:pPr>
      <w:proofErr w:type="gramStart"/>
      <w:r>
        <w:t>s</w:t>
      </w:r>
      <w:r w:rsidR="0095353C">
        <w:t>éparation</w:t>
      </w:r>
      <w:proofErr w:type="gramEnd"/>
      <w:r w:rsidR="0095353C">
        <w:t xml:space="preserve"> entre les services conventionnés et les services librement organisés et</w:t>
      </w:r>
      <w:r w:rsidR="00B7185B">
        <w:t>,</w:t>
      </w:r>
      <w:r w:rsidR="0095353C">
        <w:t xml:space="preserve"> en ce qui concerne les services conventionnés de transport de personnes, séparation entre chaque contrat de service public</w:t>
      </w:r>
      <w:r w:rsidR="0041219D" w:rsidRPr="00C40A2C">
        <w:rPr>
          <w:rStyle w:val="Appelnotedebasdep"/>
        </w:rPr>
        <w:footnoteReference w:id="5"/>
      </w:r>
      <w:r w:rsidR="0095353C">
        <w:t xml:space="preserve">. </w:t>
      </w:r>
    </w:p>
    <w:p w14:paraId="3D0B561F" w14:textId="6F30257A" w:rsidR="0095353C" w:rsidRDefault="0095353C" w:rsidP="0041219D">
      <w:pPr>
        <w:pStyle w:val="Paragraphenumrot"/>
      </w:pPr>
      <w:r>
        <w:t>En application de l’article L</w:t>
      </w:r>
      <w:r w:rsidR="005A31A6">
        <w:t>. </w:t>
      </w:r>
      <w:r>
        <w:t>2133-4 du code des transports, l’Autorité</w:t>
      </w:r>
      <w:r w:rsidR="00886EE1">
        <w:t xml:space="preserve"> </w:t>
      </w:r>
      <w:r>
        <w:t>approuve, après avis de l’Autorité de la concurrence</w:t>
      </w:r>
      <w:r w:rsidR="00886EE1">
        <w:t xml:space="preserve"> (ci-après « l’ADLC »)</w:t>
      </w:r>
      <w:r>
        <w:t xml:space="preserve">, </w:t>
      </w:r>
      <w:r w:rsidRPr="660AB87A">
        <w:rPr>
          <w:i/>
          <w:iCs/>
        </w:rPr>
        <w:t>«</w:t>
      </w:r>
      <w:r w:rsidR="00886EE1" w:rsidRPr="660AB87A">
        <w:rPr>
          <w:i/>
          <w:iCs/>
        </w:rPr>
        <w:t> </w:t>
      </w:r>
      <w:r w:rsidRPr="660AB87A">
        <w:rPr>
          <w:i/>
          <w:iCs/>
        </w:rPr>
        <w:t>les règles de la séparation comptable</w:t>
      </w:r>
      <w:r>
        <w:t xml:space="preserve"> </w:t>
      </w:r>
      <w:r w:rsidRPr="00D458D1">
        <w:rPr>
          <w:i/>
        </w:rPr>
        <w:t xml:space="preserve">prévue </w:t>
      </w:r>
      <w:r w:rsidR="0041219D" w:rsidRPr="00D458D1">
        <w:rPr>
          <w:i/>
        </w:rPr>
        <w:t>aux</w:t>
      </w:r>
      <w:r w:rsidRPr="00D458D1">
        <w:rPr>
          <w:i/>
        </w:rPr>
        <w:t xml:space="preserve"> </w:t>
      </w:r>
      <w:proofErr w:type="gramStart"/>
      <w:r w:rsidRPr="00D458D1">
        <w:rPr>
          <w:i/>
        </w:rPr>
        <w:t>articles</w:t>
      </w:r>
      <w:r w:rsidR="0041219D" w:rsidRPr="00D458D1">
        <w:rPr>
          <w:i/>
        </w:rPr>
        <w:t xml:space="preserve">  L.</w:t>
      </w:r>
      <w:proofErr w:type="gramEnd"/>
      <w:r w:rsidR="0041219D" w:rsidRPr="00D458D1">
        <w:rPr>
          <w:i/>
        </w:rPr>
        <w:t xml:space="preserve"> 2122-4, L. 2123-1-1, L. 2144-1 et L. 2144-2</w:t>
      </w:r>
      <w:r w:rsidRPr="00D458D1">
        <w:rPr>
          <w:i/>
        </w:rPr>
        <w:t>,</w:t>
      </w:r>
      <w:r>
        <w:t xml:space="preserve"> </w:t>
      </w:r>
      <w:r w:rsidRPr="660AB87A">
        <w:rPr>
          <w:i/>
          <w:iCs/>
        </w:rPr>
        <w:t>les règles d’imputation, les périmètres comptables et les principes régissant les relations financières entre les activités comptablement séparées, qui sont proposées par les opérateurs »</w:t>
      </w:r>
      <w:r>
        <w:t xml:space="preserve">. La modification des règles est approuvée au terme de la même procédure. </w:t>
      </w:r>
    </w:p>
    <w:p w14:paraId="76F3A99E" w14:textId="3401F193" w:rsidR="0095353C" w:rsidRDefault="0095353C" w:rsidP="0095353C">
      <w:pPr>
        <w:pStyle w:val="Paragraphenumrot"/>
      </w:pPr>
      <w:r>
        <w:t xml:space="preserve">Dans ce cadre, l’Autorité </w:t>
      </w:r>
      <w:r w:rsidRPr="660AB87A">
        <w:rPr>
          <w:i/>
          <w:iCs/>
        </w:rPr>
        <w:t>« veille à ce que ces règles, périmètres et principes ne permettent aucune discrimination, subvention croisée ou distorsion de concurrence. Les modifications de ces règles, périmètres et principes sont approuvées dans les mêmes conditions »</w:t>
      </w:r>
      <w:r w:rsidR="00211CB6">
        <w:rPr>
          <w:rStyle w:val="Appelnotedebasdep"/>
          <w:i/>
          <w:iCs/>
        </w:rPr>
        <w:footnoteReference w:id="6"/>
      </w:r>
      <w:r>
        <w:t xml:space="preserve">. </w:t>
      </w:r>
    </w:p>
    <w:p w14:paraId="7CBF01BD" w14:textId="3A2FAD23" w:rsidR="0095353C" w:rsidRDefault="0095353C" w:rsidP="0095353C">
      <w:pPr>
        <w:pStyle w:val="Paragraphenumrot"/>
      </w:pPr>
      <w:r>
        <w:t>Faisant usage de son pouvoir réglementaire supplétif, l’Autorité a, dans sa décision n°</w:t>
      </w:r>
      <w:r w:rsidR="005A31A6">
        <w:t> </w:t>
      </w:r>
      <w:r>
        <w:t>2017-101 du 27</w:t>
      </w:r>
      <w:r w:rsidR="005A31A6">
        <w:t> </w:t>
      </w:r>
      <w:r>
        <w:t>septembre</w:t>
      </w:r>
      <w:r w:rsidR="005A31A6">
        <w:t> </w:t>
      </w:r>
      <w:r>
        <w:t xml:space="preserve">2017, précisé les </w:t>
      </w:r>
      <w:r w:rsidR="002E32B4">
        <w:t xml:space="preserve">principes que doivent respecter les </w:t>
      </w:r>
      <w:r>
        <w:t>règles</w:t>
      </w:r>
      <w:r w:rsidR="002E32B4">
        <w:t xml:space="preserve"> de séparation comptable</w:t>
      </w:r>
      <w:r>
        <w:t xml:space="preserve"> </w:t>
      </w:r>
      <w:r w:rsidR="002E32B4">
        <w:t xml:space="preserve">proposées par les opérateurs </w:t>
      </w:r>
      <w:r>
        <w:t>concernant</w:t>
      </w:r>
      <w:r w:rsidR="006543CF">
        <w:t> </w:t>
      </w:r>
      <w:r>
        <w:t xml:space="preserve">: </w:t>
      </w:r>
    </w:p>
    <w:p w14:paraId="46B2ACDE" w14:textId="2B5FF52D" w:rsidR="0095353C" w:rsidRDefault="0095353C" w:rsidP="0095353C">
      <w:pPr>
        <w:pStyle w:val="Listetirets"/>
      </w:pPr>
      <w:proofErr w:type="gramStart"/>
      <w:r>
        <w:t>les</w:t>
      </w:r>
      <w:proofErr w:type="gramEnd"/>
      <w:r>
        <w:t xml:space="preserve"> périmètres de chacune des activités comptablement séparées désignées aux articles précités du code des transports</w:t>
      </w:r>
      <w:r w:rsidR="002E32B4">
        <w:t> ;</w:t>
      </w:r>
    </w:p>
    <w:p w14:paraId="4F9E8834" w14:textId="77777777" w:rsidR="0095353C" w:rsidRDefault="0095353C" w:rsidP="0095353C">
      <w:pPr>
        <w:pStyle w:val="Listetirets"/>
      </w:pPr>
      <w:proofErr w:type="gramStart"/>
      <w:r>
        <w:t>les</w:t>
      </w:r>
      <w:proofErr w:type="gramEnd"/>
      <w:r>
        <w:t xml:space="preserve"> règles d’imputation comptable qui leur sont appliquées ; </w:t>
      </w:r>
    </w:p>
    <w:p w14:paraId="0FDC1EA4" w14:textId="77777777" w:rsidR="0095353C" w:rsidRDefault="0095353C" w:rsidP="0095353C">
      <w:pPr>
        <w:pStyle w:val="Listetirets"/>
      </w:pPr>
      <w:proofErr w:type="gramStart"/>
      <w:r>
        <w:t>les</w:t>
      </w:r>
      <w:proofErr w:type="gramEnd"/>
      <w:r>
        <w:t xml:space="preserve"> principes déterminant les relations financières entre ces activités. </w:t>
      </w:r>
    </w:p>
    <w:p w14:paraId="0DA2FEC5" w14:textId="14EF7F61" w:rsidR="0095353C" w:rsidRPr="00DD6AA5" w:rsidRDefault="0095353C" w:rsidP="000A372B">
      <w:pPr>
        <w:pStyle w:val="Titre3"/>
      </w:pPr>
      <w:bookmarkStart w:id="8" w:name="_Toc157421579"/>
      <w:bookmarkStart w:id="9" w:name="_Toc1141782894"/>
      <w:bookmarkStart w:id="10" w:name="_Toc156312799"/>
      <w:r>
        <w:t>La séparation comptable est un outil essentiel de régulation pour l’Autorité</w:t>
      </w:r>
      <w:r w:rsidR="002E32B4">
        <w:t xml:space="preserve"> dans un contexte </w:t>
      </w:r>
      <w:r>
        <w:t>d’ouverture à la concurrence</w:t>
      </w:r>
      <w:bookmarkEnd w:id="8"/>
      <w:bookmarkEnd w:id="9"/>
      <w:r>
        <w:t xml:space="preserve"> </w:t>
      </w:r>
      <w:bookmarkEnd w:id="10"/>
    </w:p>
    <w:p w14:paraId="2A5D7F63" w14:textId="19B99107" w:rsidR="00EB076E" w:rsidRDefault="00EB076E" w:rsidP="006C7DDE">
      <w:pPr>
        <w:pStyle w:val="Paragraphenumrot"/>
      </w:pPr>
      <w:r>
        <w:t>La séparation comptable constitue un outil indispensable à la bonne régulation d</w:t>
      </w:r>
      <w:r w:rsidR="005A31A6">
        <w:t>u</w:t>
      </w:r>
      <w:r>
        <w:t xml:space="preserve"> secteur ferroviaire.</w:t>
      </w:r>
    </w:p>
    <w:p w14:paraId="123428D9" w14:textId="0D96D811" w:rsidR="006C7DDE" w:rsidRDefault="007A2A6B" w:rsidP="006C7DDE">
      <w:pPr>
        <w:pStyle w:val="Paragraphenumrot"/>
      </w:pPr>
      <w:r>
        <w:t xml:space="preserve">En premier lieu, </w:t>
      </w:r>
      <w:r w:rsidR="00FD1F5F">
        <w:t xml:space="preserve">s’agissant de la régulation tarifaire, </w:t>
      </w:r>
      <w:r>
        <w:t>l</w:t>
      </w:r>
      <w:r w:rsidR="00554356">
        <w:t xml:space="preserve">a </w:t>
      </w:r>
      <w:r w:rsidR="006C7DDE">
        <w:t xml:space="preserve">séparation comptable </w:t>
      </w:r>
      <w:r w:rsidR="00C518E3">
        <w:t>doit permettre de disposer d’une connaissance fine des actifs, des passifs, des produits et des charges par activité séparée, et de présenter les comptes des différentes activités et les relations entre elles comme si elles étaient réalisées de manière indépendante</w:t>
      </w:r>
      <w:r w:rsidR="006C7DDE">
        <w:t>.</w:t>
      </w:r>
      <w:r w:rsidR="00C518E3">
        <w:t xml:space="preserve"> Elle permet ainsi au régulateur d’évaluer en connaissance de cause la pertinence des tarifs régulés proposés par les gestionnaires d’infrastructure ou d’installations de service.</w:t>
      </w:r>
    </w:p>
    <w:p w14:paraId="6074F7B3" w14:textId="291F1DC4" w:rsidR="00607E5C" w:rsidRDefault="00FD1F5F" w:rsidP="00FD1F5F">
      <w:pPr>
        <w:pStyle w:val="Paragraphenumrot"/>
      </w:pPr>
      <w:r>
        <w:t xml:space="preserve">En second lieu, s’agissant de l’ouverture à la concurrence du secteur du transport ferroviaire de voyageurs, </w:t>
      </w:r>
      <w:r w:rsidR="006C7DDE">
        <w:t xml:space="preserve">la séparation comptable </w:t>
      </w:r>
      <w:r>
        <w:t>est</w:t>
      </w:r>
      <w:r w:rsidR="006C7DDE">
        <w:t xml:space="preserve"> essentielle </w:t>
      </w:r>
      <w:r>
        <w:t xml:space="preserve">pour prévenir toute discrimination, subvention croisée </w:t>
      </w:r>
      <w:r w:rsidR="000870C4">
        <w:t>et</w:t>
      </w:r>
      <w:r>
        <w:t xml:space="preserve"> distorsion de concurrence à même de favoriser l’opérateur historique au détriment des nouveaux entrants</w:t>
      </w:r>
      <w:r w:rsidR="006C7DDE">
        <w:t xml:space="preserve">. En </w:t>
      </w:r>
      <w:r w:rsidR="00794A05">
        <w:t>particulier</w:t>
      </w:r>
      <w:r w:rsidR="006C7DDE">
        <w:t xml:space="preserve">, </w:t>
      </w:r>
      <w:r w:rsidR="00794A05">
        <w:t>le développement de l’offre des</w:t>
      </w:r>
      <w:r w:rsidR="006C7DDE">
        <w:t xml:space="preserve"> entreprises ferroviaires nouvelles entrantes </w:t>
      </w:r>
      <w:r w:rsidR="00794A05">
        <w:t>nécessite un accès</w:t>
      </w:r>
      <w:r w:rsidR="006C7DDE">
        <w:t xml:space="preserve"> aux installations de service dans des conditions</w:t>
      </w:r>
      <w:r w:rsidR="00794A05">
        <w:t xml:space="preserve"> financières</w:t>
      </w:r>
      <w:r w:rsidR="006C7DDE">
        <w:t xml:space="preserve"> équitables et non discriminatoires</w:t>
      </w:r>
      <w:r w:rsidR="002E32B4">
        <w:t xml:space="preserve"> par rapport à l’opérateur historique</w:t>
      </w:r>
      <w:r w:rsidR="006C7DDE">
        <w:t xml:space="preserve">. </w:t>
      </w:r>
    </w:p>
    <w:p w14:paraId="760FD0F0" w14:textId="6EEBC61C" w:rsidR="006C7DDE" w:rsidRDefault="006C7DDE" w:rsidP="006C7DDE">
      <w:pPr>
        <w:pStyle w:val="Paragraphenumrot"/>
      </w:pPr>
      <w:r>
        <w:t>La réussite de l’ouverture à la concurrence passe également par la possibilité, pour les régions, en tant qu’Autorités Organisatrices de Transport</w:t>
      </w:r>
      <w:r w:rsidR="002E32B4">
        <w:t xml:space="preserve"> (AOT)</w:t>
      </w:r>
      <w:r>
        <w:t xml:space="preserve">, de disposer </w:t>
      </w:r>
      <w:r w:rsidR="00794A05">
        <w:t xml:space="preserve">de l’ensemble </w:t>
      </w:r>
      <w:r>
        <w:t xml:space="preserve">des données </w:t>
      </w:r>
      <w:r w:rsidR="00794A05">
        <w:t xml:space="preserve">de coûts </w:t>
      </w:r>
      <w:r w:rsidR="004075B0">
        <w:t>relati</w:t>
      </w:r>
      <w:r w:rsidR="009F7AF2">
        <w:t>ve</w:t>
      </w:r>
      <w:r w:rsidR="004075B0">
        <w:t xml:space="preserve">s à l’exploitation du service </w:t>
      </w:r>
      <w:r>
        <w:t>nécessaires pour organiser la procédure de publicité et de mise en concurrence et d’établir des critères objectifs d’attribution leur permettant ensuite de comparer des offres alternatives.</w:t>
      </w:r>
    </w:p>
    <w:p w14:paraId="1907FD1B" w14:textId="2CD94714" w:rsidR="003010A5" w:rsidRPr="00DC7B67" w:rsidRDefault="00836143" w:rsidP="000A372B">
      <w:pPr>
        <w:pStyle w:val="Titre2"/>
      </w:pPr>
      <w:bookmarkStart w:id="11" w:name="_Toc156312800"/>
      <w:bookmarkStart w:id="12" w:name="_Toc157421580"/>
      <w:bookmarkStart w:id="13" w:name="_Toc689693614"/>
      <w:r>
        <w:t xml:space="preserve">L’ADLC et </w:t>
      </w:r>
      <w:r w:rsidR="002E32B4">
        <w:t>l</w:t>
      </w:r>
      <w:r w:rsidR="00D27D6B">
        <w:t xml:space="preserve">’Autorité </w:t>
      </w:r>
      <w:r w:rsidR="00B002DA">
        <w:t>ont</w:t>
      </w:r>
      <w:r>
        <w:t xml:space="preserve"> estimé en 2021 que les règles </w:t>
      </w:r>
      <w:r w:rsidR="002E32B4">
        <w:t xml:space="preserve">de séparation </w:t>
      </w:r>
      <w:r>
        <w:t xml:space="preserve">comptables de </w:t>
      </w:r>
      <w:r w:rsidR="002E32B4">
        <w:t>SNCF </w:t>
      </w:r>
      <w:r>
        <w:t xml:space="preserve">Voyageurs étaient </w:t>
      </w:r>
      <w:r w:rsidR="00162CEE">
        <w:t>conformes</w:t>
      </w:r>
      <w:r w:rsidR="002E32B4">
        <w:t xml:space="preserve"> aux textes applicables</w:t>
      </w:r>
      <w:r>
        <w:t xml:space="preserve"> mais pouvaient être améliorées</w:t>
      </w:r>
      <w:bookmarkEnd w:id="11"/>
      <w:bookmarkEnd w:id="12"/>
      <w:bookmarkEnd w:id="13"/>
      <w:r w:rsidR="00341841">
        <w:t xml:space="preserve"> </w:t>
      </w:r>
    </w:p>
    <w:p w14:paraId="2BDD4F31" w14:textId="7D7EF8C9" w:rsidR="00E16101" w:rsidRPr="00DC7B67" w:rsidRDefault="00E16101" w:rsidP="000A372B">
      <w:pPr>
        <w:pStyle w:val="Titre3"/>
      </w:pPr>
      <w:bookmarkStart w:id="14" w:name="_Toc156312801"/>
      <w:bookmarkStart w:id="15" w:name="_Toc157421581"/>
      <w:bookmarkStart w:id="16" w:name="_Toc415663611"/>
      <w:r>
        <w:t>L’Autorité de la Concurrence a approuvé les règles de séparation comptable de SNCF Voyageurs</w:t>
      </w:r>
      <w:r w:rsidR="00A222AD">
        <w:t xml:space="preserve">, </w:t>
      </w:r>
      <w:r w:rsidR="00341841">
        <w:t xml:space="preserve">tout </w:t>
      </w:r>
      <w:r w:rsidR="00A222AD">
        <w:t>en formulant un certain nombre de recommandations</w:t>
      </w:r>
      <w:bookmarkEnd w:id="14"/>
      <w:bookmarkEnd w:id="15"/>
      <w:bookmarkEnd w:id="16"/>
    </w:p>
    <w:p w14:paraId="6433E0F7" w14:textId="63923725" w:rsidR="00E16101" w:rsidRPr="00310F71" w:rsidRDefault="00E16101" w:rsidP="00E16101">
      <w:pPr>
        <w:pStyle w:val="Paragraphenumrot"/>
      </w:pPr>
      <w:r>
        <w:t>Saisie pour consultation par l’A</w:t>
      </w:r>
      <w:r w:rsidR="001427FD">
        <w:t>utorité</w:t>
      </w:r>
      <w:r>
        <w:t xml:space="preserve">, </w:t>
      </w:r>
      <w:r w:rsidR="004C08F3">
        <w:t>l</w:t>
      </w:r>
      <w:r w:rsidRPr="00310F71">
        <w:t>’Autorité</w:t>
      </w:r>
      <w:r>
        <w:t xml:space="preserve"> de la Concurrence a</w:t>
      </w:r>
      <w:r w:rsidRPr="00310F71">
        <w:t xml:space="preserve"> approuv</w:t>
      </w:r>
      <w:r>
        <w:t xml:space="preserve">é, dans son </w:t>
      </w:r>
      <w:r w:rsidR="002E32B4">
        <w:t>avis </w:t>
      </w:r>
      <w:r w:rsidRPr="00883016">
        <w:t>n°</w:t>
      </w:r>
      <w:r>
        <w:t> </w:t>
      </w:r>
      <w:r w:rsidRPr="00883016">
        <w:t>21</w:t>
      </w:r>
      <w:r>
        <w:noBreakHyphen/>
      </w:r>
      <w:r w:rsidRPr="00883016">
        <w:t>A</w:t>
      </w:r>
      <w:r>
        <w:noBreakHyphen/>
      </w:r>
      <w:r w:rsidRPr="00883016">
        <w:t>07 du 10</w:t>
      </w:r>
      <w:r w:rsidR="005C3D28">
        <w:t> </w:t>
      </w:r>
      <w:r w:rsidRPr="00883016">
        <w:t>mai</w:t>
      </w:r>
      <w:r w:rsidR="00723F71">
        <w:t> </w:t>
      </w:r>
      <w:r w:rsidRPr="00883016">
        <w:t>202</w:t>
      </w:r>
      <w:r>
        <w:t xml:space="preserve">1, </w:t>
      </w:r>
      <w:r w:rsidRPr="00310F71">
        <w:t>les règles de séparation comptable soumises par SNCF</w:t>
      </w:r>
      <w:r w:rsidR="009420F0">
        <w:t> </w:t>
      </w:r>
      <w:r w:rsidRPr="00310F71">
        <w:t xml:space="preserve">Voyageurs. </w:t>
      </w:r>
    </w:p>
    <w:p w14:paraId="354A5F97" w14:textId="2F34DA08" w:rsidR="00E16101" w:rsidRDefault="00A222AD" w:rsidP="00E16101">
      <w:pPr>
        <w:pStyle w:val="Paragraphenumrot"/>
      </w:pPr>
      <w:r>
        <w:t>L’ADLC</w:t>
      </w:r>
      <w:r w:rsidR="00E16101" w:rsidRPr="00310F71">
        <w:t xml:space="preserve"> </w:t>
      </w:r>
      <w:r w:rsidR="00894615">
        <w:t xml:space="preserve">n’a pas </w:t>
      </w:r>
      <w:r w:rsidR="00692BA9">
        <w:t xml:space="preserve">émis de réserve sur les règles </w:t>
      </w:r>
      <w:r w:rsidR="002E32B4">
        <w:t xml:space="preserve">de séparation </w:t>
      </w:r>
      <w:r w:rsidR="00692BA9">
        <w:t xml:space="preserve">comptable de SNCF Voyageurs, </w:t>
      </w:r>
      <w:r w:rsidR="00D7668B">
        <w:t>mais</w:t>
      </w:r>
      <w:r w:rsidR="00D7668B" w:rsidRPr="00310F71">
        <w:t xml:space="preserve"> </w:t>
      </w:r>
      <w:r w:rsidR="00E16101">
        <w:t xml:space="preserve">a </w:t>
      </w:r>
      <w:r w:rsidR="00692BA9">
        <w:t>cependant</w:t>
      </w:r>
      <w:r w:rsidR="00E16101">
        <w:t xml:space="preserve"> formulé</w:t>
      </w:r>
      <w:r w:rsidR="00E16101" w:rsidRPr="00310F71">
        <w:t xml:space="preserve"> </w:t>
      </w:r>
      <w:r w:rsidR="00692BA9">
        <w:t>plusieurs</w:t>
      </w:r>
      <w:r w:rsidR="00E16101" w:rsidRPr="00310F71">
        <w:t xml:space="preserve"> recommandations</w:t>
      </w:r>
      <w:r w:rsidR="002A6422">
        <w:rPr>
          <w:rStyle w:val="Appelnotedebasdep"/>
        </w:rPr>
        <w:footnoteReference w:id="7"/>
      </w:r>
      <w:r w:rsidR="00E16101" w:rsidRPr="00310F71">
        <w:t xml:space="preserve"> </w:t>
      </w:r>
      <w:r w:rsidR="00154F7B">
        <w:t>afin d’</w:t>
      </w:r>
      <w:r w:rsidR="00341841">
        <w:t xml:space="preserve">en </w:t>
      </w:r>
      <w:r w:rsidR="00154F7B">
        <w:t>améliorer la précision, la pertinence et la transparence</w:t>
      </w:r>
      <w:r w:rsidR="00E16101">
        <w:t>.</w:t>
      </w:r>
    </w:p>
    <w:p w14:paraId="0141E100" w14:textId="5822FA42" w:rsidR="00E16101" w:rsidRPr="00A33F8B" w:rsidRDefault="00E16101" w:rsidP="00E16101">
      <w:pPr>
        <w:pStyle w:val="Paragraphedeliste"/>
      </w:pPr>
      <w:r>
        <w:t xml:space="preserve">S’agissant des règles d’imputation au bilan, l’ADLC préconise que SNCF Voyageurs précise dans ses règles que « </w:t>
      </w:r>
      <w:r w:rsidRPr="660AB87A">
        <w:rPr>
          <w:i/>
          <w:iCs/>
        </w:rPr>
        <w:t>la décision de gestion d’un BFR nul en matière de prestations internes doit être explicitement mentionnée et justifiée dans les annexes des comptes séparés</w:t>
      </w:r>
      <w:r w:rsidR="00894615" w:rsidRPr="660AB87A">
        <w:rPr>
          <w:i/>
          <w:iCs/>
        </w:rPr>
        <w:t xml:space="preserve"> communiqués à l’ART</w:t>
      </w:r>
      <w:r>
        <w:t> » (Recommandation n° 1)</w:t>
      </w:r>
      <w:r w:rsidR="00894615">
        <w:t>.</w:t>
      </w:r>
    </w:p>
    <w:p w14:paraId="576178DE" w14:textId="6C0130BA" w:rsidR="00E16101" w:rsidRPr="00FA137A" w:rsidRDefault="00E16101" w:rsidP="00E16101">
      <w:pPr>
        <w:pStyle w:val="Paragraphenumrot"/>
      </w:pPr>
      <w:r>
        <w:t>S’agissant des règles d’imputation des éléments comptables non affectables, l’ADLC, afin de prévenir tout risque concurrentiel, « </w:t>
      </w:r>
      <w:r w:rsidRPr="660AB87A">
        <w:rPr>
          <w:i/>
          <w:iCs/>
        </w:rPr>
        <w:t>recommande que les clés de répartition ressortant de la mise en œuvre des comptes séparés puissent être plus précisément définies, à l’aune des principes énoncés, sur la base de leur validation par le régulateur et par l’auditeur externe dans le cadre de l’examen des derniers comptes séparés de SNCF Mobilités.</w:t>
      </w:r>
      <w:r w:rsidR="00BC5490">
        <w:rPr>
          <w:i/>
          <w:iCs/>
        </w:rPr>
        <w:t xml:space="preserve"> </w:t>
      </w:r>
      <w:r w:rsidRPr="660AB87A">
        <w:rPr>
          <w:i/>
          <w:iCs/>
        </w:rPr>
        <w:t xml:space="preserve">Une typologie des clés retenues par les opérateurs par grandes catégories de charges non affectables figurant </w:t>
      </w:r>
      <w:proofErr w:type="gramStart"/>
      <w:r w:rsidRPr="660AB87A">
        <w:rPr>
          <w:i/>
          <w:iCs/>
        </w:rPr>
        <w:t>au</w:t>
      </w:r>
      <w:proofErr w:type="gramEnd"/>
      <w:r w:rsidRPr="660AB87A">
        <w:rPr>
          <w:i/>
          <w:iCs/>
        </w:rPr>
        <w:t xml:space="preserve"> plan comptable pourrait figurer dans les règles de séparation comptable de chaque entité.</w:t>
      </w:r>
      <w:r>
        <w:t xml:space="preserve"> » (Recommandation n° 12)</w:t>
      </w:r>
    </w:p>
    <w:p w14:paraId="5166BB82" w14:textId="0372D0AF" w:rsidR="00E16101" w:rsidRDefault="00E16101" w:rsidP="00083971">
      <w:pPr>
        <w:pStyle w:val="Paragraphenumrot"/>
        <w:keepNext/>
      </w:pPr>
      <w:r>
        <w:t>S’agissant des protocoles</w:t>
      </w:r>
      <w:r w:rsidR="00083971">
        <w:rPr>
          <w:rStyle w:val="Appelnotedebasdep"/>
        </w:rPr>
        <w:footnoteReference w:id="8"/>
      </w:r>
      <w:r>
        <w:t xml:space="preserve"> régissant les relations financières entre activités comptablement séparées, l’ADLC préconise :</w:t>
      </w:r>
    </w:p>
    <w:p w14:paraId="6D344DE1" w14:textId="77777777" w:rsidR="00E16101" w:rsidRPr="00FA137A" w:rsidRDefault="00E16101" w:rsidP="000E140E">
      <w:pPr>
        <w:pStyle w:val="Listetirets"/>
      </w:pPr>
      <w:proofErr w:type="gramStart"/>
      <w:r>
        <w:t>que</w:t>
      </w:r>
      <w:proofErr w:type="gramEnd"/>
      <w:r>
        <w:t xml:space="preserve"> les règles </w:t>
      </w:r>
      <w:r w:rsidRPr="00FA137A">
        <w:t>concernant la formalisation centralisée des protocoles précise</w:t>
      </w:r>
      <w:r>
        <w:t>nt</w:t>
      </w:r>
      <w:r w:rsidRPr="00FA137A">
        <w:t xml:space="preserve"> </w:t>
      </w:r>
      <w:r>
        <w:t>« </w:t>
      </w:r>
      <w:r w:rsidRPr="00302946">
        <w:rPr>
          <w:i/>
          <w:iCs/>
        </w:rPr>
        <w:t>les garanties apportées par le processus de centralisation pour favoriser l’auditabilité et la traçabilité des relations financières internes avec les comptes séparés de chacune des activités</w:t>
      </w:r>
      <w:r>
        <w:t> »</w:t>
      </w:r>
      <w:r w:rsidRPr="00FA137A">
        <w:t xml:space="preserve"> </w:t>
      </w:r>
      <w:r w:rsidRPr="00302946">
        <w:t>(Recommandation n° 10)</w:t>
      </w:r>
      <w:r>
        <w:t> ;</w:t>
      </w:r>
    </w:p>
    <w:p w14:paraId="0A9CA0E9" w14:textId="66D7C012" w:rsidR="00E16101" w:rsidRPr="00302946" w:rsidRDefault="00E16101" w:rsidP="000E140E">
      <w:pPr>
        <w:pStyle w:val="Listetirets"/>
        <w:ind w:left="709" w:hanging="142"/>
      </w:pPr>
      <w:proofErr w:type="gramStart"/>
      <w:r w:rsidRPr="00FA137A">
        <w:t>que</w:t>
      </w:r>
      <w:proofErr w:type="gramEnd"/>
      <w:r w:rsidRPr="00FA137A">
        <w:t xml:space="preserve"> </w:t>
      </w:r>
      <w:r w:rsidRPr="00A222AD">
        <w:t>les protocoles mentionne</w:t>
      </w:r>
      <w:r w:rsidR="00A222AD" w:rsidRPr="00A222AD">
        <w:t>nt</w:t>
      </w:r>
      <w:r w:rsidRPr="00302946">
        <w:rPr>
          <w:i/>
          <w:iCs/>
        </w:rPr>
        <w:t xml:space="preserve"> </w:t>
      </w:r>
      <w:r w:rsidR="00A222AD">
        <w:rPr>
          <w:i/>
          <w:iCs/>
        </w:rPr>
        <w:t>« </w:t>
      </w:r>
      <w:r w:rsidRPr="00302946">
        <w:rPr>
          <w:i/>
          <w:iCs/>
        </w:rPr>
        <w:t>les modalités de contrôle par l’acheteur de la réalité de la prestation et de son coût. Cette mention pourrait être enrichie dans les règles de séparation comptable par le détail des modalités de contrôle par l’acheteur, tel qu’il ressort de l’information donnée par SNCF Voyageurs</w:t>
      </w:r>
      <w:r>
        <w:t> »</w:t>
      </w:r>
      <w:r w:rsidRPr="00302946">
        <w:t xml:space="preserve"> </w:t>
      </w:r>
      <w:r>
        <w:t>(</w:t>
      </w:r>
      <w:r w:rsidRPr="00302946">
        <w:t>Recommandation n°</w:t>
      </w:r>
      <w:r w:rsidR="00A27D29">
        <w:t> </w:t>
      </w:r>
      <w:r w:rsidRPr="00302946">
        <w:t>11</w:t>
      </w:r>
      <w:r>
        <w:t>) ;</w:t>
      </w:r>
    </w:p>
    <w:p w14:paraId="35D5BAF9" w14:textId="7DF06686" w:rsidR="00E16101" w:rsidRPr="00302946" w:rsidRDefault="00E16101" w:rsidP="00631EC4">
      <w:pPr>
        <w:pStyle w:val="Listetirets"/>
        <w:keepNext/>
      </w:pPr>
      <w:proofErr w:type="gramStart"/>
      <w:r w:rsidRPr="00F661AC">
        <w:t>que</w:t>
      </w:r>
      <w:proofErr w:type="gramEnd"/>
      <w:r w:rsidRPr="00F661AC">
        <w:t xml:space="preserve"> l’ART évalue </w:t>
      </w:r>
      <w:r>
        <w:t>« </w:t>
      </w:r>
      <w:r w:rsidRPr="00302946">
        <w:rPr>
          <w:i/>
          <w:iCs/>
        </w:rPr>
        <w:t>l’existence d’un écart entre les valeurs issues d’un coût comptable et celles auxquelles aurait abouti la détermination d’un coût économique pour la valorisation des prestations internes non régulées</w:t>
      </w:r>
      <w:r>
        <w:t> </w:t>
      </w:r>
      <w:r w:rsidRPr="00302946">
        <w:t>» (Recommandation n°</w:t>
      </w:r>
      <w:r w:rsidR="00A27D29">
        <w:t> </w:t>
      </w:r>
      <w:r w:rsidRPr="00302946">
        <w:t>13)</w:t>
      </w:r>
      <w:r>
        <w:t>.</w:t>
      </w:r>
    </w:p>
    <w:p w14:paraId="6372C25D" w14:textId="04B74D87" w:rsidR="00E16101" w:rsidRPr="00302946" w:rsidRDefault="00E16101" w:rsidP="00E16101">
      <w:pPr>
        <w:pStyle w:val="Paragraphenumrot"/>
        <w:rPr>
          <w:b/>
          <w:bCs/>
        </w:rPr>
      </w:pPr>
      <w:r>
        <w:t>Enfin, s’agissant du mécanisme de régularisation des données budgétaires utilisées pour la détermination du coût comptable, l’ADLC recommande que « </w:t>
      </w:r>
      <w:r w:rsidRPr="660AB87A">
        <w:rPr>
          <w:i/>
          <w:iCs/>
        </w:rPr>
        <w:t>les écarts constatés entre le réalisé et le prévisionnel, résultant des bases budgétaires, soient systématiquement pris en compte afin de garantir la conformité de la valorisation des prestations internes non régulées aux données réelles des comptes définitifs </w:t>
      </w:r>
      <w:r>
        <w:t>» (Recommandation n°</w:t>
      </w:r>
      <w:r w:rsidR="00BC5490">
        <w:t> </w:t>
      </w:r>
      <w:r>
        <w:t>14).</w:t>
      </w:r>
    </w:p>
    <w:p w14:paraId="0E6166B9" w14:textId="52413296" w:rsidR="00BB33F0" w:rsidRDefault="00554356" w:rsidP="000A372B">
      <w:pPr>
        <w:pStyle w:val="Titre3"/>
      </w:pPr>
      <w:bookmarkStart w:id="17" w:name="_Toc156312802"/>
      <w:bookmarkStart w:id="18" w:name="_Toc157421582"/>
      <w:bookmarkStart w:id="19" w:name="_Toc134156757"/>
      <w:r>
        <w:t xml:space="preserve">L’Autorité a validé les règles de </w:t>
      </w:r>
      <w:r w:rsidR="00310F71">
        <w:t>séparation</w:t>
      </w:r>
      <w:r>
        <w:t xml:space="preserve"> comptable de SNCF Voyageurs</w:t>
      </w:r>
      <w:r w:rsidR="00D048BA">
        <w:t xml:space="preserve">, tout en lui demandant de </w:t>
      </w:r>
      <w:r w:rsidR="004A6DF7">
        <w:t>se conformer aux recommandations de l’ADLC</w:t>
      </w:r>
      <w:bookmarkEnd w:id="17"/>
      <w:bookmarkEnd w:id="18"/>
      <w:bookmarkEnd w:id="19"/>
    </w:p>
    <w:p w14:paraId="18D9FEFC" w14:textId="199D292B" w:rsidR="00554356" w:rsidRDefault="00A222AD" w:rsidP="00265F39">
      <w:pPr>
        <w:pStyle w:val="Paragraphedeliste"/>
      </w:pPr>
      <w:r>
        <w:t>L’Autorité</w:t>
      </w:r>
      <w:r w:rsidR="00CC4C3A">
        <w:t xml:space="preserve">, dans sa décision </w:t>
      </w:r>
      <w:r w:rsidR="00CC4C3A" w:rsidRPr="00CC4C3A">
        <w:t>n°</w:t>
      </w:r>
      <w:r w:rsidR="00CC4C3A">
        <w:t> </w:t>
      </w:r>
      <w:r w:rsidR="00CC4C3A" w:rsidRPr="00CC4C3A">
        <w:t>2021</w:t>
      </w:r>
      <w:r w:rsidR="00910E17">
        <w:noBreakHyphen/>
      </w:r>
      <w:r w:rsidR="00CC4C3A" w:rsidRPr="00CC4C3A">
        <w:t>029 du 27 mai 202</w:t>
      </w:r>
      <w:r w:rsidR="00CC4C3A">
        <w:t xml:space="preserve">1, </w:t>
      </w:r>
      <w:r w:rsidR="001427FD">
        <w:t xml:space="preserve">a jugé </w:t>
      </w:r>
      <w:r w:rsidR="00836143">
        <w:t>que</w:t>
      </w:r>
      <w:r w:rsidR="001427FD">
        <w:t xml:space="preserve"> </w:t>
      </w:r>
      <w:r w:rsidR="00CC4C3A" w:rsidRPr="00CC4C3A">
        <w:t>les règles de la séparation comptable, les périmètres, les règles d’imputation ainsi que les principes régissant les relations financières entre activités comptablement séparées soumises par SNCF Voyageurs</w:t>
      </w:r>
      <w:r w:rsidR="00836143">
        <w:t xml:space="preserve"> étaient conformes aux principes de séparation comptables énoncés dans sa décision </w:t>
      </w:r>
      <w:r w:rsidR="00836143" w:rsidRPr="004031AB">
        <w:t>n°</w:t>
      </w:r>
      <w:r w:rsidR="00836143">
        <w:t> </w:t>
      </w:r>
      <w:r w:rsidR="00836143" w:rsidRPr="004031AB">
        <w:t>2017-101</w:t>
      </w:r>
      <w:r w:rsidR="00CC4C3A">
        <w:t>.</w:t>
      </w:r>
    </w:p>
    <w:p w14:paraId="257DCD7E" w14:textId="3D411C4E" w:rsidR="00C4450E" w:rsidRDefault="00C55D0E" w:rsidP="00B6584F">
      <w:pPr>
        <w:pStyle w:val="Paragraphedeliste"/>
        <w:spacing w:before="0" w:after="0" w:line="280" w:lineRule="atLeast"/>
      </w:pPr>
      <w:r>
        <w:t>Pour autant, l’Autorité</w:t>
      </w:r>
      <w:r w:rsidR="00CE30C9">
        <w:t xml:space="preserve"> </w:t>
      </w:r>
      <w:r>
        <w:t xml:space="preserve">a </w:t>
      </w:r>
      <w:r w:rsidR="00A81A8D">
        <w:t xml:space="preserve">demandé à SNCF Voyageurs de </w:t>
      </w:r>
      <w:r w:rsidR="00154F7B">
        <w:t>parfaire</w:t>
      </w:r>
      <w:r w:rsidR="00A81A8D">
        <w:t xml:space="preserve"> </w:t>
      </w:r>
      <w:r w:rsidR="00154F7B">
        <w:t>ses règles de séparation comptable en se conformant aux recommandations formulées par l’ADLC.</w:t>
      </w:r>
    </w:p>
    <w:p w14:paraId="13D7EFBD" w14:textId="1E8A8C3D" w:rsidR="00AE15E3" w:rsidRDefault="00894615" w:rsidP="000E140E">
      <w:pPr>
        <w:pStyle w:val="Titre1"/>
      </w:pPr>
      <w:bookmarkStart w:id="20" w:name="_Toc156312803"/>
      <w:bookmarkStart w:id="21" w:name="_Toc157421583"/>
      <w:bookmarkStart w:id="22" w:name="_Toc1012609687"/>
      <w:r>
        <w:t>L</w:t>
      </w:r>
      <w:r w:rsidR="00D568BC">
        <w:t xml:space="preserve">es </w:t>
      </w:r>
      <w:r w:rsidR="006C7DDE">
        <w:t>évolutions apportées aux règles de séparation comptable de SNCF Voyageurs</w:t>
      </w:r>
      <w:bookmarkEnd w:id="20"/>
      <w:bookmarkEnd w:id="21"/>
      <w:bookmarkEnd w:id="22"/>
    </w:p>
    <w:p w14:paraId="7983B1D5" w14:textId="7861175C" w:rsidR="00F74FDE" w:rsidRDefault="00F74FDE" w:rsidP="000A372B">
      <w:pPr>
        <w:pStyle w:val="Titre2"/>
      </w:pPr>
      <w:bookmarkStart w:id="23" w:name="_Toc157421584"/>
      <w:bookmarkStart w:id="24" w:name="_Toc430832783"/>
      <w:bookmarkStart w:id="25" w:name="_Toc156312804"/>
      <w:r>
        <w:t xml:space="preserve">SNCF Voyageurs a </w:t>
      </w:r>
      <w:r w:rsidR="00CC6C8E">
        <w:t xml:space="preserve">apporté des modifications marginales à </w:t>
      </w:r>
      <w:r>
        <w:t>ses règles de séparation comptable</w:t>
      </w:r>
      <w:bookmarkEnd w:id="23"/>
      <w:bookmarkEnd w:id="24"/>
      <w:r>
        <w:t xml:space="preserve"> </w:t>
      </w:r>
      <w:bookmarkEnd w:id="25"/>
    </w:p>
    <w:p w14:paraId="535DE4EE" w14:textId="1F2E8E12" w:rsidR="00631EC4" w:rsidRDefault="00E9499F" w:rsidP="00910E17">
      <w:pPr>
        <w:pStyle w:val="Paragraphenumrot"/>
      </w:pPr>
      <w:r w:rsidRPr="001427FD">
        <w:t>L’Autorité a été saisie</w:t>
      </w:r>
      <w:r w:rsidR="000C3DB5">
        <w:t xml:space="preserve"> le 10 novembre 2023</w:t>
      </w:r>
      <w:r w:rsidRPr="001427FD">
        <w:t>, sur le fondement de l’article L.</w:t>
      </w:r>
      <w:r w:rsidR="000C3DB5">
        <w:t> </w:t>
      </w:r>
      <w:r w:rsidRPr="001427FD">
        <w:t>2133-4 du code des transports, pour approbation des</w:t>
      </w:r>
      <w:r w:rsidR="00F805A4">
        <w:t xml:space="preserve"> nouvelles</w:t>
      </w:r>
      <w:r w:rsidRPr="001427FD">
        <w:t xml:space="preserve"> règles de séparation comptable de SNCF</w:t>
      </w:r>
      <w:r w:rsidR="00AE0F00">
        <w:t xml:space="preserve"> </w:t>
      </w:r>
      <w:r w:rsidRPr="001427FD">
        <w:t>Voyageurs</w:t>
      </w:r>
      <w:r>
        <w:t>.</w:t>
      </w:r>
      <w:r w:rsidR="00910E17">
        <w:t xml:space="preserve"> </w:t>
      </w:r>
    </w:p>
    <w:p w14:paraId="554EBB42" w14:textId="13F9F1EB" w:rsidR="00245733" w:rsidRDefault="00910E17" w:rsidP="00631EC4">
      <w:pPr>
        <w:pStyle w:val="Paragraphenumrot"/>
        <w:keepNext/>
      </w:pPr>
      <w:r>
        <w:t xml:space="preserve">Les évolutions apportées </w:t>
      </w:r>
      <w:r w:rsidR="009916D3">
        <w:t>par</w:t>
      </w:r>
      <w:r>
        <w:t xml:space="preserve"> ces nouvelles règles, par rapport à la version approuvée par l’Autorité dans sa décision </w:t>
      </w:r>
      <w:r w:rsidRPr="00CC4C3A">
        <w:t>n°</w:t>
      </w:r>
      <w:r>
        <w:t> </w:t>
      </w:r>
      <w:r w:rsidRPr="00CC4C3A">
        <w:t>2021</w:t>
      </w:r>
      <w:r>
        <w:noBreakHyphen/>
      </w:r>
      <w:r w:rsidRPr="00CC4C3A">
        <w:t>029</w:t>
      </w:r>
      <w:r>
        <w:t xml:space="preserve">, concernent </w:t>
      </w:r>
      <w:r w:rsidR="00D37E4D">
        <w:t xml:space="preserve">essentiellement </w:t>
      </w:r>
      <w:r>
        <w:t>la prise en compte d</w:t>
      </w:r>
      <w:r w:rsidR="006B3FC6">
        <w:t>es</w:t>
      </w:r>
      <w:r w:rsidR="00245733">
        <w:t xml:space="preserve"> recommandations et des demandes formulées </w:t>
      </w:r>
      <w:r>
        <w:t>par l’Autorité et l’ADLC</w:t>
      </w:r>
      <w:r w:rsidR="00B54207">
        <w:t xml:space="preserve">, </w:t>
      </w:r>
      <w:r w:rsidR="00245733">
        <w:t>notamment</w:t>
      </w:r>
      <w:r w:rsidR="000C3DB5">
        <w:t> </w:t>
      </w:r>
      <w:r w:rsidR="00245733">
        <w:t>:</w:t>
      </w:r>
    </w:p>
    <w:p w14:paraId="1E3202CB" w14:textId="76C26FE7" w:rsidR="00986431" w:rsidRDefault="00631EC4" w:rsidP="00631EC4">
      <w:pPr>
        <w:pStyle w:val="Listetirets"/>
        <w:keepNext/>
      </w:pPr>
      <w:proofErr w:type="gramStart"/>
      <w:r>
        <w:t>l</w:t>
      </w:r>
      <w:r w:rsidR="00AB27E9">
        <w:t>a</w:t>
      </w:r>
      <w:proofErr w:type="gramEnd"/>
      <w:r w:rsidR="00986431">
        <w:t xml:space="preserve"> mention explicite, </w:t>
      </w:r>
      <w:r w:rsidR="00986431" w:rsidRPr="00CD69C1">
        <w:t xml:space="preserve">dans </w:t>
      </w:r>
      <w:r w:rsidR="00986431">
        <w:t>l</w:t>
      </w:r>
      <w:r w:rsidR="00986431" w:rsidRPr="00CD69C1">
        <w:t xml:space="preserve">es règles </w:t>
      </w:r>
      <w:r w:rsidR="00986431">
        <w:t xml:space="preserve">de séparation comptable </w:t>
      </w:r>
      <w:r w:rsidR="009916D3">
        <w:t xml:space="preserve">et </w:t>
      </w:r>
      <w:r w:rsidR="00986431" w:rsidRPr="00CD69C1">
        <w:t>dans les annexes des comptes séparés</w:t>
      </w:r>
      <w:r w:rsidR="00986431">
        <w:t xml:space="preserve">, de la décision </w:t>
      </w:r>
      <w:r w:rsidR="00986431" w:rsidRPr="00986431">
        <w:t xml:space="preserve">de gestion </w:t>
      </w:r>
      <w:r w:rsidR="00986431">
        <w:t>prise par SNCF Voyageurs de ne pas imputer de BFR lié à des prestations internes</w:t>
      </w:r>
      <w:r w:rsidR="00986431" w:rsidRPr="00986431">
        <w:t xml:space="preserve"> </w:t>
      </w:r>
      <w:r w:rsidR="00986431">
        <w:t xml:space="preserve">au bilan </w:t>
      </w:r>
      <w:r w:rsidR="00986431" w:rsidRPr="007E3A30">
        <w:t>des activités comptablement séparées</w:t>
      </w:r>
      <w:r w:rsidR="00986431">
        <w:t xml:space="preserve">, conformément à </w:t>
      </w:r>
      <w:r w:rsidR="00AB27E9">
        <w:t>la recommandation</w:t>
      </w:r>
      <w:r w:rsidR="00986431" w:rsidRPr="00CD69C1">
        <w:t xml:space="preserve"> n°</w:t>
      </w:r>
      <w:r w:rsidR="000C3DB5">
        <w:t> </w:t>
      </w:r>
      <w:r w:rsidR="00986431" w:rsidRPr="00CD69C1">
        <w:t>1</w:t>
      </w:r>
      <w:r w:rsidR="00986431">
        <w:t xml:space="preserve"> de l’ADLC ;</w:t>
      </w:r>
    </w:p>
    <w:p w14:paraId="77D9EC99" w14:textId="1C4BDF37" w:rsidR="00AB146E" w:rsidRDefault="00631EC4" w:rsidP="000E140E">
      <w:pPr>
        <w:pStyle w:val="Listetirets"/>
      </w:pPr>
      <w:proofErr w:type="gramStart"/>
      <w:r>
        <w:t>l</w:t>
      </w:r>
      <w:r w:rsidR="00AB27E9">
        <w:t>a</w:t>
      </w:r>
      <w:proofErr w:type="gramEnd"/>
      <w:r w:rsidR="00AB146E">
        <w:t xml:space="preserve"> présentation</w:t>
      </w:r>
      <w:r w:rsidR="00CE30C9">
        <w:t>,</w:t>
      </w:r>
      <w:r w:rsidR="00AB146E">
        <w:t xml:space="preserve"> dans les règles</w:t>
      </w:r>
      <w:r w:rsidR="00CE30C9">
        <w:t>,</w:t>
      </w:r>
      <w:r w:rsidR="00AB146E">
        <w:t xml:space="preserve"> des clés de répartition retenues pour l'affectation des frais de structure non</w:t>
      </w:r>
      <w:r w:rsidR="00CE30C9">
        <w:t xml:space="preserve"> </w:t>
      </w:r>
      <w:r w:rsidR="009916D3">
        <w:t xml:space="preserve">directement  </w:t>
      </w:r>
      <w:r w:rsidR="00AB146E">
        <w:t xml:space="preserve">affectables, ainsi que l’inclusion des informations détaillées dans les annexes aux comptes séparés, qui feront l’objet d’un audit externe, conformément </w:t>
      </w:r>
      <w:r w:rsidR="00D37E4D">
        <w:t xml:space="preserve">à </w:t>
      </w:r>
      <w:r w:rsidR="00AB27E9">
        <w:t>la recommandation</w:t>
      </w:r>
      <w:r w:rsidR="00AB146E" w:rsidRPr="00CD69C1">
        <w:t xml:space="preserve"> n°</w:t>
      </w:r>
      <w:r w:rsidR="000C3DB5">
        <w:t> </w:t>
      </w:r>
      <w:r w:rsidR="00AB146E" w:rsidRPr="00CD69C1">
        <w:t>1</w:t>
      </w:r>
      <w:r w:rsidR="00D37E4D">
        <w:t>2</w:t>
      </w:r>
      <w:r w:rsidR="00AB146E">
        <w:t xml:space="preserve"> de l’ADLC</w:t>
      </w:r>
      <w:r w:rsidR="00CE0E02">
        <w:t> </w:t>
      </w:r>
      <w:r w:rsidR="00AB146E">
        <w:t>;</w:t>
      </w:r>
    </w:p>
    <w:p w14:paraId="7E569BB2" w14:textId="0C583A98" w:rsidR="00AB146E" w:rsidRPr="001427FD" w:rsidRDefault="00631EC4" w:rsidP="000E140E">
      <w:pPr>
        <w:pStyle w:val="Listetirets"/>
      </w:pPr>
      <w:proofErr w:type="gramStart"/>
      <w:r>
        <w:t>l</w:t>
      </w:r>
      <w:r w:rsidR="00AB27E9">
        <w:t>es</w:t>
      </w:r>
      <w:proofErr w:type="gramEnd"/>
      <w:r w:rsidR="00AB146E">
        <w:t xml:space="preserve"> informations demandées sur la formalisation centralisée des protocoles et leur validation, conformément aux </w:t>
      </w:r>
      <w:r w:rsidR="00AB146E" w:rsidRPr="00CD69C1">
        <w:t>recommandations n°</w:t>
      </w:r>
      <w:r w:rsidR="00A27D29">
        <w:t> </w:t>
      </w:r>
      <w:r w:rsidR="00AB146E" w:rsidRPr="00CD69C1">
        <w:t>10 et n°</w:t>
      </w:r>
      <w:r w:rsidR="00A27D29">
        <w:t> </w:t>
      </w:r>
      <w:r w:rsidR="00AB146E" w:rsidRPr="00CD69C1">
        <w:t>11</w:t>
      </w:r>
      <w:r w:rsidR="00AB146E">
        <w:t xml:space="preserve"> de l’ADLC</w:t>
      </w:r>
      <w:r w:rsidR="007F47B1">
        <w:t> ;</w:t>
      </w:r>
    </w:p>
    <w:p w14:paraId="48811DE8" w14:textId="545748BE" w:rsidR="00245733" w:rsidRDefault="00631EC4" w:rsidP="000E140E">
      <w:pPr>
        <w:pStyle w:val="Listetirets"/>
        <w:keepLines/>
      </w:pPr>
      <w:proofErr w:type="gramStart"/>
      <w:r>
        <w:t>l</w:t>
      </w:r>
      <w:r w:rsidR="00AB27E9">
        <w:t>a</w:t>
      </w:r>
      <w:proofErr w:type="gramEnd"/>
      <w:r w:rsidR="00245733">
        <w:t xml:space="preserve"> mise en </w:t>
      </w:r>
      <w:r w:rsidR="00570CC6">
        <w:t>œuvre</w:t>
      </w:r>
      <w:r w:rsidR="00245733">
        <w:t xml:space="preserve"> d'une facturation de la prestation au coût comptable selon un prix déterminé</w:t>
      </w:r>
      <w:r w:rsidR="00B54207">
        <w:t>,</w:t>
      </w:r>
      <w:r w:rsidR="00245733">
        <w:t xml:space="preserve"> en différenciant</w:t>
      </w:r>
      <w:r w:rsidR="00CE30C9">
        <w:t>,</w:t>
      </w:r>
      <w:r w:rsidR="00245733">
        <w:t xml:space="preserve"> </w:t>
      </w:r>
      <w:r w:rsidR="00B54207">
        <w:t>d’une part</w:t>
      </w:r>
      <w:r w:rsidR="00CE30C9">
        <w:t>,</w:t>
      </w:r>
      <w:r w:rsidR="00B54207">
        <w:t xml:space="preserve"> </w:t>
      </w:r>
      <w:r w:rsidR="00245733">
        <w:t>les coûts attribuables</w:t>
      </w:r>
      <w:r w:rsidR="00B54207">
        <w:t>,</w:t>
      </w:r>
      <w:r w:rsidR="00245733">
        <w:t xml:space="preserve"> </w:t>
      </w:r>
      <w:r w:rsidR="00B54207">
        <w:t>d’autre part</w:t>
      </w:r>
      <w:r w:rsidR="00CE30C9">
        <w:t>,</w:t>
      </w:r>
      <w:r w:rsidR="00B54207">
        <w:t xml:space="preserve"> </w:t>
      </w:r>
      <w:r w:rsidR="00245733">
        <w:t>l'allocation des coûts communs non attribuables dans les cas des prestations de distribution des titres de transport en gare et des prestations spécifiques d'escale</w:t>
      </w:r>
      <w:r w:rsidR="00CB1EAA">
        <w:rPr>
          <w:rStyle w:val="Appelnotedebasdep"/>
        </w:rPr>
        <w:footnoteReference w:id="9"/>
      </w:r>
      <w:r w:rsidR="00AB27E9">
        <w:t>,</w:t>
      </w:r>
      <w:r w:rsidR="00245733">
        <w:t xml:space="preserve"> visant à améliorer la pertinence économique du prix interne des prestations internes non régulées</w:t>
      </w:r>
      <w:r w:rsidR="00AB146E">
        <w:t xml:space="preserve">, </w:t>
      </w:r>
      <w:r w:rsidR="00D37E4D">
        <w:t>suivant ainsi la</w:t>
      </w:r>
      <w:r w:rsidR="00AB146E">
        <w:t xml:space="preserve"> </w:t>
      </w:r>
      <w:r w:rsidR="00AB146E" w:rsidRPr="00CD69C1">
        <w:t>recommandation n°</w:t>
      </w:r>
      <w:r w:rsidR="00B02D04">
        <w:t> </w:t>
      </w:r>
      <w:r w:rsidR="00AB146E" w:rsidRPr="00CD69C1">
        <w:t>1</w:t>
      </w:r>
      <w:r w:rsidR="00D37E4D">
        <w:t>3</w:t>
      </w:r>
      <w:r w:rsidR="00AB146E">
        <w:t xml:space="preserve"> de l’ADLC</w:t>
      </w:r>
      <w:r w:rsidR="007F47B1">
        <w:t>.</w:t>
      </w:r>
      <w:r w:rsidR="00AB27E9">
        <w:t xml:space="preserve"> Ces évolutions sont détaillées infra, en section</w:t>
      </w:r>
      <w:r w:rsidR="008C1EB8">
        <w:t xml:space="preserve"> </w:t>
      </w:r>
      <w:r w:rsidR="008C1EB8">
        <w:fldChar w:fldCharType="begin"/>
      </w:r>
      <w:r w:rsidR="008C1EB8">
        <w:instrText xml:space="preserve"> REF _Ref157420325 \r \h </w:instrText>
      </w:r>
      <w:r w:rsidR="008C1EB8">
        <w:fldChar w:fldCharType="separate"/>
      </w:r>
      <w:r w:rsidR="008C1EB8">
        <w:t>2.2</w:t>
      </w:r>
      <w:r w:rsidR="008C1EB8">
        <w:fldChar w:fldCharType="end"/>
      </w:r>
      <w:r w:rsidR="00AB27E9">
        <w:fldChar w:fldCharType="begin"/>
      </w:r>
      <w:r w:rsidR="00AB27E9">
        <w:instrText xml:space="preserve"> REF _Ref153469775 \r \h </w:instrText>
      </w:r>
      <w:r w:rsidR="00FE2334">
        <w:fldChar w:fldCharType="separate"/>
      </w:r>
      <w:r w:rsidR="00AB27E9">
        <w:fldChar w:fldCharType="end"/>
      </w:r>
      <w:r w:rsidR="00AB27E9">
        <w:t>.</w:t>
      </w:r>
    </w:p>
    <w:p w14:paraId="548937A2" w14:textId="33E25F5C" w:rsidR="00DD3269" w:rsidRDefault="0027303F" w:rsidP="00A44755">
      <w:pPr>
        <w:pStyle w:val="Paragraphenumrot"/>
      </w:pPr>
      <w:r>
        <w:t>Par ailleurs</w:t>
      </w:r>
      <w:r w:rsidR="003A52FB">
        <w:t xml:space="preserve">, </w:t>
      </w:r>
      <w:r w:rsidR="007E5691">
        <w:t>l’expert-comptable</w:t>
      </w:r>
      <w:r>
        <w:t xml:space="preserve"> mandaté par</w:t>
      </w:r>
      <w:r w:rsidR="00775E7C">
        <w:t xml:space="preserve"> </w:t>
      </w:r>
      <w:r w:rsidR="00CD06FD">
        <w:t xml:space="preserve">SNCF Voyageurs </w:t>
      </w:r>
      <w:r>
        <w:t xml:space="preserve">pour attester de la conformité des </w:t>
      </w:r>
      <w:r w:rsidR="00CE30C9">
        <w:t>c</w:t>
      </w:r>
      <w:r>
        <w:t xml:space="preserve">omptes </w:t>
      </w:r>
      <w:r w:rsidR="00CE30C9">
        <w:t>s</w:t>
      </w:r>
      <w:r>
        <w:t>éparés de l’exercice 2022 avec les règles de séparation comptable validées par l’Autorité avait formulé plusieurs observations</w:t>
      </w:r>
      <w:r w:rsidR="0059361B">
        <w:rPr>
          <w:rStyle w:val="Appelnotedebasdep"/>
        </w:rPr>
        <w:footnoteReference w:id="10"/>
      </w:r>
      <w:r w:rsidR="0059361B">
        <w:t xml:space="preserve">, sans que ces </w:t>
      </w:r>
      <w:r w:rsidR="0036256B">
        <w:t xml:space="preserve">dernières ne </w:t>
      </w:r>
      <w:r w:rsidR="0059361B">
        <w:t>r</w:t>
      </w:r>
      <w:r w:rsidR="007E5691">
        <w:t>e</w:t>
      </w:r>
      <w:r w:rsidR="0059361B">
        <w:t>mettent en cause</w:t>
      </w:r>
      <w:r w:rsidR="007E5691">
        <w:t xml:space="preserve"> la correcte application par SNCF Voyageurs de ses règles de séparation comptable</w:t>
      </w:r>
      <w:r w:rsidR="00DD3269">
        <w:t xml:space="preserve">. SNCF Voyageurs a </w:t>
      </w:r>
      <w:r w:rsidR="00D30C69">
        <w:t>pris en compte</w:t>
      </w:r>
      <w:r w:rsidR="00DD3269">
        <w:t xml:space="preserve"> ces </w:t>
      </w:r>
      <w:r w:rsidR="00DD3269" w:rsidRPr="0059361B">
        <w:t>observations</w:t>
      </w:r>
      <w:r w:rsidR="00DD3269">
        <w:t xml:space="preserve"> dans son projet de nouvelles règles transmis pour validation à l’Autorité, en apportant les modifications suivantes : </w:t>
      </w:r>
    </w:p>
    <w:p w14:paraId="5E4EBC4B" w14:textId="3103D02A" w:rsidR="0202F04A" w:rsidRPr="00631EC4" w:rsidRDefault="00631EC4" w:rsidP="2945DEEA">
      <w:pPr>
        <w:pStyle w:val="Listetirets"/>
      </w:pPr>
      <w:proofErr w:type="gramStart"/>
      <w:r>
        <w:rPr>
          <w:rFonts w:eastAsiaTheme="minorEastAsia"/>
        </w:rPr>
        <w:t>l</w:t>
      </w:r>
      <w:r w:rsidR="0202F04A" w:rsidRPr="00631EC4">
        <w:rPr>
          <w:rFonts w:eastAsiaTheme="minorEastAsia"/>
        </w:rPr>
        <w:t>a</w:t>
      </w:r>
      <w:proofErr w:type="gramEnd"/>
      <w:r w:rsidR="0202F04A" w:rsidRPr="00631EC4">
        <w:rPr>
          <w:rFonts w:eastAsiaTheme="minorEastAsia"/>
        </w:rPr>
        <w:t xml:space="preserve"> détermination du taux financier </w:t>
      </w:r>
      <w:r w:rsidR="00793409">
        <w:rPr>
          <w:rFonts w:eastAsiaTheme="minorEastAsia"/>
        </w:rPr>
        <w:t xml:space="preserve">(ou taux d’intérêt) </w:t>
      </w:r>
      <w:r w:rsidR="0202F04A" w:rsidRPr="00631EC4">
        <w:rPr>
          <w:rFonts w:eastAsiaTheme="minorEastAsia"/>
        </w:rPr>
        <w:t>moyen</w:t>
      </w:r>
      <w:r w:rsidR="00CE30C9">
        <w:rPr>
          <w:rFonts w:eastAsiaTheme="minorEastAsia"/>
        </w:rPr>
        <w:t>-</w:t>
      </w:r>
      <w:r w:rsidR="0202F04A" w:rsidRPr="00631EC4">
        <w:rPr>
          <w:rFonts w:eastAsiaTheme="minorEastAsia"/>
        </w:rPr>
        <w:t>long terme sur la base</w:t>
      </w:r>
      <w:r w:rsidR="77B137BC" w:rsidRPr="1474E7C2">
        <w:rPr>
          <w:rFonts w:eastAsiaTheme="minorEastAsia"/>
        </w:rPr>
        <w:t xml:space="preserve"> d’une notation </w:t>
      </w:r>
      <w:r w:rsidR="00CE30C9">
        <w:rPr>
          <w:rFonts w:eastAsiaTheme="minorEastAsia"/>
        </w:rPr>
        <w:t xml:space="preserve">établie </w:t>
      </w:r>
      <w:r w:rsidR="77B137BC" w:rsidRPr="1474E7C2">
        <w:rPr>
          <w:rFonts w:eastAsiaTheme="minorEastAsia"/>
        </w:rPr>
        <w:t xml:space="preserve">par </w:t>
      </w:r>
      <w:r w:rsidR="0202F04A" w:rsidRPr="00631EC4">
        <w:rPr>
          <w:rFonts w:eastAsiaTheme="minorEastAsia"/>
        </w:rPr>
        <w:t xml:space="preserve">une étude d’expert externe dont la validité sera désormais </w:t>
      </w:r>
      <w:r w:rsidR="00FC1D1E">
        <w:rPr>
          <w:rFonts w:eastAsiaTheme="minorEastAsia"/>
        </w:rPr>
        <w:t>d</w:t>
      </w:r>
      <w:r w:rsidR="0202F04A" w:rsidRPr="00631EC4">
        <w:rPr>
          <w:rFonts w:eastAsiaTheme="minorEastAsia"/>
        </w:rPr>
        <w:t>e</w:t>
      </w:r>
      <w:r w:rsidR="0202F04A" w:rsidRPr="1474E7C2">
        <w:rPr>
          <w:rFonts w:eastAsiaTheme="minorEastAsia"/>
        </w:rPr>
        <w:t xml:space="preserve"> </w:t>
      </w:r>
      <w:r w:rsidR="00FC1D1E" w:rsidRPr="1474E7C2">
        <w:rPr>
          <w:rFonts w:eastAsiaTheme="minorEastAsia"/>
        </w:rPr>
        <w:t>trois</w:t>
      </w:r>
      <w:r w:rsidR="00FC1D1E" w:rsidRPr="006C2940">
        <w:rPr>
          <w:rFonts w:eastAsiaTheme="minorEastAsia"/>
        </w:rPr>
        <w:t xml:space="preserve"> ans</w:t>
      </w:r>
      <w:r w:rsidR="0202F04A" w:rsidRPr="1474E7C2">
        <w:rPr>
          <w:rFonts w:eastAsiaTheme="minorEastAsia"/>
        </w:rPr>
        <w:t xml:space="preserve"> </w:t>
      </w:r>
      <w:r w:rsidR="0CB0E5D2" w:rsidRPr="1474E7C2">
        <w:rPr>
          <w:rFonts w:eastAsiaTheme="minorEastAsia"/>
        </w:rPr>
        <w:t xml:space="preserve">au maximum </w:t>
      </w:r>
      <w:r w:rsidR="497659DF" w:rsidRPr="1474E7C2">
        <w:rPr>
          <w:rFonts w:eastAsiaTheme="minorEastAsia"/>
        </w:rPr>
        <w:t>;</w:t>
      </w:r>
    </w:p>
    <w:p w14:paraId="77FF86B5" w14:textId="29C59FE0" w:rsidR="00B16562" w:rsidRDefault="00631EC4" w:rsidP="00B16562">
      <w:pPr>
        <w:pStyle w:val="Listetirets"/>
      </w:pPr>
      <w:proofErr w:type="gramStart"/>
      <w:r>
        <w:t>l</w:t>
      </w:r>
      <w:r w:rsidR="00AB27E9">
        <w:t>a</w:t>
      </w:r>
      <w:proofErr w:type="gramEnd"/>
      <w:r w:rsidR="00B16562">
        <w:t xml:space="preserve"> </w:t>
      </w:r>
      <w:r w:rsidR="00EE6EF7">
        <w:t>p</w:t>
      </w:r>
      <w:r w:rsidR="00B16562">
        <w:t xml:space="preserve">rise en </w:t>
      </w:r>
      <w:r w:rsidR="00F4581D">
        <w:t>compte</w:t>
      </w:r>
      <w:r w:rsidR="00CE30C9">
        <w:t>,</w:t>
      </w:r>
      <w:r w:rsidR="00F4581D">
        <w:t xml:space="preserve"> pour</w:t>
      </w:r>
      <w:r w:rsidR="00B16562">
        <w:t xml:space="preserve"> l</w:t>
      </w:r>
      <w:r w:rsidR="48452360">
        <w:t>e</w:t>
      </w:r>
      <w:r w:rsidR="00B16562">
        <w:t xml:space="preserve"> taux </w:t>
      </w:r>
      <w:r w:rsidR="00793409">
        <w:t>financier</w:t>
      </w:r>
      <w:r w:rsidR="00B16562">
        <w:t xml:space="preserve"> </w:t>
      </w:r>
      <w:r w:rsidR="00120B3E">
        <w:t xml:space="preserve">de </w:t>
      </w:r>
      <w:r w:rsidR="2608C6E0">
        <w:t>moyen-</w:t>
      </w:r>
      <w:r w:rsidR="00B16562">
        <w:t>long terme</w:t>
      </w:r>
      <w:r w:rsidR="00C52347">
        <w:t xml:space="preserve"> des actifs</w:t>
      </w:r>
      <w:r w:rsidR="006F40F3">
        <w:t xml:space="preserve"> inscrits au bilan</w:t>
      </w:r>
      <w:r w:rsidR="00C52347">
        <w:t xml:space="preserve"> de chaque activité séparée</w:t>
      </w:r>
      <w:r w:rsidR="4EF4B7EB">
        <w:t xml:space="preserve">, </w:t>
      </w:r>
      <w:r w:rsidR="4C717A29">
        <w:t>d’</w:t>
      </w:r>
      <w:r w:rsidR="4EF4B7EB">
        <w:t xml:space="preserve">une maturité équivalente à la durée de vie résiduelle </w:t>
      </w:r>
      <w:r w:rsidR="4DCB54EA">
        <w:t xml:space="preserve">réelle </w:t>
      </w:r>
      <w:r w:rsidR="4EF4B7EB">
        <w:t>moyenne d’utilisation de</w:t>
      </w:r>
      <w:r w:rsidR="00C52347">
        <w:t xml:space="preserve"> ce</w:t>
      </w:r>
      <w:r w:rsidR="4EF4B7EB">
        <w:t>s actifs</w:t>
      </w:r>
      <w:r w:rsidR="00CE30C9">
        <w:t>,</w:t>
      </w:r>
      <w:r w:rsidR="4EF4B7EB">
        <w:t xml:space="preserve"> </w:t>
      </w:r>
      <w:r w:rsidR="4393F59D">
        <w:t>estimée à</w:t>
      </w:r>
      <w:r w:rsidR="4EF4B7EB">
        <w:t xml:space="preserve"> </w:t>
      </w:r>
      <w:r w:rsidR="00D30C69">
        <w:t>dix</w:t>
      </w:r>
      <w:r w:rsidR="4EF4B7EB">
        <w:t xml:space="preserve"> ans</w:t>
      </w:r>
      <w:r w:rsidR="3BB44F0E">
        <w:t xml:space="preserve"> sur la base de l’année de contractualisation de la dette</w:t>
      </w:r>
      <w:r w:rsidR="288F24EA">
        <w:t xml:space="preserve"> </w:t>
      </w:r>
      <w:r w:rsidR="4EF4B7EB">
        <w:t>;</w:t>
      </w:r>
    </w:p>
    <w:p w14:paraId="08B4E28C" w14:textId="2491F353" w:rsidR="00B16562" w:rsidRDefault="00631EC4" w:rsidP="00B16562">
      <w:pPr>
        <w:pStyle w:val="Listetirets"/>
      </w:pPr>
      <w:proofErr w:type="gramStart"/>
      <w:r>
        <w:t>l</w:t>
      </w:r>
      <w:r w:rsidR="00AB27E9">
        <w:t>’existence</w:t>
      </w:r>
      <w:proofErr w:type="gramEnd"/>
      <w:r w:rsidR="00B16562">
        <w:t xml:space="preserve"> d'un compte courant</w:t>
      </w:r>
      <w:r w:rsidR="7DD3A5B2">
        <w:t xml:space="preserve">, non rémunéré, </w:t>
      </w:r>
      <w:r w:rsidR="00B16562">
        <w:t>entre les activités conventionnées et l</w:t>
      </w:r>
      <w:r w:rsidR="58BE8C49">
        <w:t>’activité</w:t>
      </w:r>
      <w:r w:rsidR="00B16562">
        <w:t xml:space="preserve"> </w:t>
      </w:r>
      <w:r w:rsidR="00CE30C9">
        <w:t>« </w:t>
      </w:r>
      <w:r w:rsidR="47969A9B">
        <w:t>C</w:t>
      </w:r>
      <w:r w:rsidR="00B16562">
        <w:t>orporate</w:t>
      </w:r>
      <w:r w:rsidR="00CE30C9">
        <w:t> »</w:t>
      </w:r>
      <w:r w:rsidR="00B16562">
        <w:t>.</w:t>
      </w:r>
    </w:p>
    <w:p w14:paraId="2BB2A37B" w14:textId="153B79D3" w:rsidR="00AB27E9" w:rsidRDefault="00AB27E9" w:rsidP="00AB27E9">
      <w:pPr>
        <w:pStyle w:val="Paragraphenumrot"/>
      </w:pPr>
      <w:r>
        <w:t xml:space="preserve">Les modifications apportées </w:t>
      </w:r>
      <w:r w:rsidR="00E918CC">
        <w:t xml:space="preserve">sur la détermination des frais financiers sont analysées </w:t>
      </w:r>
      <w:r w:rsidR="00E918CC" w:rsidRPr="000E140E">
        <w:rPr>
          <w:i/>
          <w:iCs/>
        </w:rPr>
        <w:t>infra</w:t>
      </w:r>
      <w:r w:rsidR="00E918CC">
        <w:t>, en section</w:t>
      </w:r>
      <w:r w:rsidR="00D9331D">
        <w:t> </w:t>
      </w:r>
      <w:r>
        <w:fldChar w:fldCharType="begin"/>
      </w:r>
      <w:r>
        <w:instrText xml:space="preserve"> REF _Ref153469993 \r \h </w:instrText>
      </w:r>
      <w:r>
        <w:fldChar w:fldCharType="separate"/>
      </w:r>
      <w:r w:rsidR="00E918CC">
        <w:t>2.3</w:t>
      </w:r>
      <w:r>
        <w:fldChar w:fldCharType="end"/>
      </w:r>
      <w:r w:rsidR="00E918CC">
        <w:t>.</w:t>
      </w:r>
    </w:p>
    <w:p w14:paraId="38811C50" w14:textId="2B2F8002" w:rsidR="002D11F3" w:rsidRPr="00AB226A" w:rsidRDefault="00603177" w:rsidP="000A372B">
      <w:pPr>
        <w:pStyle w:val="Titre2"/>
      </w:pPr>
      <w:bookmarkStart w:id="26" w:name="_Toc156312805"/>
      <w:bookmarkStart w:id="27" w:name="_Ref157420325"/>
      <w:bookmarkStart w:id="28" w:name="_Toc157421585"/>
      <w:bookmarkStart w:id="29" w:name="_Toc1390508128"/>
      <w:r>
        <w:t>SNCF Voyageurs introduit</w:t>
      </w:r>
      <w:r w:rsidR="00CE30C9">
        <w:t>,</w:t>
      </w:r>
      <w:r>
        <w:t xml:space="preserve"> pour les activités de distribution et d’escale</w:t>
      </w:r>
      <w:r w:rsidR="00F93A94">
        <w:t>,</w:t>
      </w:r>
      <w:r>
        <w:t xml:space="preserve"> une nouvelle méthode de facturation des prestations non</w:t>
      </w:r>
      <w:r w:rsidR="00F93A94">
        <w:t xml:space="preserve"> </w:t>
      </w:r>
      <w:r>
        <w:t>régulées reposant sur les coûts attribuables à chaque activité</w:t>
      </w:r>
      <w:bookmarkEnd w:id="26"/>
      <w:bookmarkEnd w:id="27"/>
      <w:bookmarkEnd w:id="28"/>
      <w:bookmarkEnd w:id="29"/>
    </w:p>
    <w:p w14:paraId="1061B2D7" w14:textId="278D4562" w:rsidR="00BB6C88" w:rsidRDefault="00A8524D" w:rsidP="00715D64">
      <w:pPr>
        <w:pStyle w:val="Paragraphedeliste"/>
      </w:pPr>
      <w:r>
        <w:t xml:space="preserve">De façon générale, les </w:t>
      </w:r>
      <w:r w:rsidR="00C27A48">
        <w:t>prestations non</w:t>
      </w:r>
      <w:r w:rsidR="00F93A94">
        <w:t xml:space="preserve"> </w:t>
      </w:r>
      <w:r w:rsidR="00C27A48">
        <w:t xml:space="preserve">régulées facturées entre activités comptablement séparées sont valorisées sur la base de leur coût comptable et facturées entre activités </w:t>
      </w:r>
      <w:r w:rsidR="006E4A9C">
        <w:t xml:space="preserve">en fonction </w:t>
      </w:r>
      <w:r w:rsidR="00A82F13">
        <w:t>du</w:t>
      </w:r>
      <w:r w:rsidR="006E4A9C">
        <w:t xml:space="preserve"> coût de revient moyen de l’unité d’œuvre pertinente</w:t>
      </w:r>
      <w:r w:rsidR="00E93652">
        <w:t>.</w:t>
      </w:r>
    </w:p>
    <w:p w14:paraId="3818336E" w14:textId="2A12BC4B" w:rsidR="006E4A9C" w:rsidRDefault="006E4A9C" w:rsidP="00715D64">
      <w:pPr>
        <w:pStyle w:val="Paragraphedeliste"/>
      </w:pPr>
      <w:r>
        <w:t>La nouvelle version des règles de séparation comptable introduit un nouveau mode de facturation interne</w:t>
      </w:r>
      <w:r w:rsidR="003C7B14">
        <w:t xml:space="preserve"> dérogeant </w:t>
      </w:r>
      <w:r w:rsidR="00734761">
        <w:t>au</w:t>
      </w:r>
      <w:r w:rsidR="003C7B14">
        <w:t xml:space="preserve"> principe</w:t>
      </w:r>
      <w:r w:rsidR="00734761">
        <w:t xml:space="preserve"> de </w:t>
      </w:r>
      <w:r w:rsidR="000A7B19">
        <w:t>facturation au coût moyen</w:t>
      </w:r>
      <w:r w:rsidR="003C7B14">
        <w:t>, reposant sur une méthode dite « </w:t>
      </w:r>
      <w:r w:rsidR="003C7B14" w:rsidRPr="660AB87A">
        <w:rPr>
          <w:i/>
          <w:iCs/>
        </w:rPr>
        <w:t>des coûts attribuables</w:t>
      </w:r>
      <w:r w:rsidR="003C7B14">
        <w:t> », et applicable aux activités de distribution physique de titres de transport</w:t>
      </w:r>
      <w:r w:rsidR="00F93A94">
        <w:t>,</w:t>
      </w:r>
      <w:r w:rsidR="003C7B14">
        <w:t xml:space="preserve"> d’une part, et de prestations d’escale</w:t>
      </w:r>
      <w:r w:rsidR="00F93A94">
        <w:t>,</w:t>
      </w:r>
      <w:r w:rsidR="003C7B14">
        <w:t xml:space="preserve"> d’autre part. </w:t>
      </w:r>
    </w:p>
    <w:p w14:paraId="3B253CB4" w14:textId="7426683A" w:rsidR="005F76FB" w:rsidRDefault="00977686" w:rsidP="005E4DE3">
      <w:pPr>
        <w:pStyle w:val="Paragraphedeliste"/>
      </w:pPr>
      <w:r>
        <w:t>En effet, l</w:t>
      </w:r>
      <w:r w:rsidR="005E4DE3">
        <w:t>es</w:t>
      </w:r>
      <w:r>
        <w:t xml:space="preserve"> coûts afférents à ces</w:t>
      </w:r>
      <w:r w:rsidR="005E4DE3">
        <w:t xml:space="preserve"> </w:t>
      </w:r>
      <w:r w:rsidR="005F76FB">
        <w:t>prestations</w:t>
      </w:r>
      <w:r>
        <w:t xml:space="preserve"> sont très majoritairement des coûts fixes. Or</w:t>
      </w:r>
      <w:r w:rsidR="005E4DE3">
        <w:t xml:space="preserve"> le dimensionnement des équipes</w:t>
      </w:r>
      <w:r>
        <w:t xml:space="preserve"> assurant les services de distribution et d’escale </w:t>
      </w:r>
      <w:r w:rsidR="005E4DE3">
        <w:t>n’est pas lié au nombre de prestations réalisées, en raison de l’importance des temps d’inactivité entre les tâches réalisées, qui ne peuvent être directement affectés à un utilisateur</w:t>
      </w:r>
      <w:r w:rsidR="00797419">
        <w:t>, mais plutôt aux choix stratégiques des activités ou, dans le cas notamment des activités de transport conventionné de voyageurs, des autorités organisatrices de transport</w:t>
      </w:r>
      <w:r w:rsidR="005E4DE3">
        <w:t>.</w:t>
      </w:r>
      <w:r w:rsidR="005F76FB">
        <w:t xml:space="preserve"> Il en résulte que</w:t>
      </w:r>
      <w:r w:rsidR="005E4DE3">
        <w:t xml:space="preserve"> </w:t>
      </w:r>
      <w:r w:rsidR="005F76FB">
        <w:t>le niveau de coûts fixes défini par ce dimensionnement n’est pas</w:t>
      </w:r>
      <w:r w:rsidR="00153C5B">
        <w:t xml:space="preserve"> nécessairement</w:t>
      </w:r>
      <w:r w:rsidR="005F76FB">
        <w:t xml:space="preserve"> corrélé au niveau d’activité strictement nécessaire à la distribution des titres en gare et aux prestations d’escale en gare.</w:t>
      </w:r>
    </w:p>
    <w:p w14:paraId="080D83BD" w14:textId="4B955686" w:rsidR="005E4DE3" w:rsidRDefault="005E4DE3" w:rsidP="000E140E">
      <w:pPr>
        <w:pStyle w:val="Paragraphedeliste"/>
        <w:keepLines/>
        <w:ind w:left="17" w:hanging="357"/>
      </w:pPr>
      <w:r>
        <w:t xml:space="preserve">SNCF Voyageurs estime donc que </w:t>
      </w:r>
      <w:r w:rsidR="007B512F">
        <w:t>la facturation</w:t>
      </w:r>
      <w:r>
        <w:t xml:space="preserve"> des coûts de ces prestations sur la base du coût de revient moyen est peu pertinente, dans la mesure où elle conduirait les gestionnaires des activités d’escale et de distribution à </w:t>
      </w:r>
      <w:r w:rsidR="007B512F">
        <w:t xml:space="preserve">faire supporter aux activités achetant ces prestations </w:t>
      </w:r>
      <w:r w:rsidR="00603177">
        <w:t>les temps d’inactivité des équipes</w:t>
      </w:r>
      <w:r>
        <w:t>. Les tarifs seraient par conséquent prohibitifs et n’inciteraient pas les transporteurs à utiliser les guichets de SNCF Voyageurs pour commercialiser leurs offres, ou à faire appel à ses équipes au sol pour les prestations d’escale.</w:t>
      </w:r>
    </w:p>
    <w:p w14:paraId="71D645B2" w14:textId="12729448" w:rsidR="002C71CA" w:rsidRPr="00FB3FB9" w:rsidRDefault="00F93A94" w:rsidP="00715D64">
      <w:pPr>
        <w:pStyle w:val="Paragraphedeliste"/>
      </w:pPr>
      <w:r>
        <w:t xml:space="preserve">En première analyse, </w:t>
      </w:r>
      <w:r w:rsidR="00FB3FB9">
        <w:t>l’</w:t>
      </w:r>
      <w:r w:rsidR="00FC67FA">
        <w:t xml:space="preserve">Autorité estime que cette modification </w:t>
      </w:r>
      <w:r w:rsidR="00EA29AB">
        <w:t>permet de répondre</w:t>
      </w:r>
      <w:r w:rsidR="00FC67FA">
        <w:t xml:space="preserve"> aux recommandations de l’ADLC, qui</w:t>
      </w:r>
      <w:r w:rsidR="00A10497">
        <w:t xml:space="preserve"> rappelait</w:t>
      </w:r>
      <w:r>
        <w:t>,</w:t>
      </w:r>
      <w:r w:rsidR="00A10497">
        <w:t xml:space="preserve"> dans son avis </w:t>
      </w:r>
      <w:r w:rsidR="00A10497" w:rsidRPr="00883016">
        <w:t>n°</w:t>
      </w:r>
      <w:r w:rsidR="00A10497">
        <w:t> </w:t>
      </w:r>
      <w:r w:rsidR="00A10497" w:rsidRPr="00883016">
        <w:t>21</w:t>
      </w:r>
      <w:r w:rsidR="00A10497">
        <w:noBreakHyphen/>
      </w:r>
      <w:r w:rsidR="00A10497" w:rsidRPr="00883016">
        <w:t>A</w:t>
      </w:r>
      <w:r w:rsidR="00A10497">
        <w:noBreakHyphen/>
      </w:r>
      <w:r w:rsidR="00D654FD" w:rsidRPr="00883016">
        <w:t>07</w:t>
      </w:r>
      <w:r>
        <w:t>,</w:t>
      </w:r>
      <w:r w:rsidR="00D654FD">
        <w:t xml:space="preserve"> suscité</w:t>
      </w:r>
      <w:r w:rsidR="00A10497">
        <w:t>, « </w:t>
      </w:r>
      <w:r w:rsidR="00A10497" w:rsidRPr="660AB87A">
        <w:rPr>
          <w:i/>
          <w:iCs/>
        </w:rPr>
        <w:t>que le dispositif retenu dans le cas présent ne remplira ses objectifs que si le choix fait ne conduit pas à ce que les valeurs utilisées dans les comptes séparés soient déconnectées de la réalité. »</w:t>
      </w:r>
    </w:p>
    <w:p w14:paraId="6AA0CFA6" w14:textId="1DAF7CD8" w:rsidR="00FB3FB9" w:rsidRPr="00A10497" w:rsidRDefault="00FB3FB9" w:rsidP="00FB3FB9">
      <w:pPr>
        <w:pStyle w:val="Paragraphedeliste"/>
      </w:pPr>
      <w:r>
        <w:t>SNCF Voyageurs précise par ailleurs qu’une analyse de la méthode de détermination des coûts attribuables et d'allocation des coûts communs non attribuables</w:t>
      </w:r>
      <w:r w:rsidR="005214EC">
        <w:rPr>
          <w:rStyle w:val="Appelnotedebasdep"/>
        </w:rPr>
        <w:footnoteReference w:id="11"/>
      </w:r>
      <w:r>
        <w:t xml:space="preserve"> pour les prestations de distribution de titres de transport en gare et les prestations spécifiques d'escale sera réalisée par un auditeur externe</w:t>
      </w:r>
      <w:r w:rsidR="00EA29AB">
        <w:t>,</w:t>
      </w:r>
      <w:r>
        <w:t xml:space="preserve"> dans le cadre </w:t>
      </w:r>
      <w:r w:rsidR="00EA29AB">
        <w:t>posé par la</w:t>
      </w:r>
      <w:r>
        <w:t xml:space="preserve"> norme professionnelle NP 4400 « Procédures convenues »</w:t>
      </w:r>
      <w:r w:rsidR="00EA29AB">
        <w:t>,</w:t>
      </w:r>
      <w:r>
        <w:t xml:space="preserve"> et fera l’objet d’une attestation spécifique.</w:t>
      </w:r>
    </w:p>
    <w:p w14:paraId="56DDE694" w14:textId="12DABAE1" w:rsidR="00A10497" w:rsidRPr="00AB226A" w:rsidRDefault="00A10497" w:rsidP="007B1A58">
      <w:pPr>
        <w:pStyle w:val="Encadr"/>
        <w:keepNext/>
        <w:rPr>
          <w:rFonts w:ascii="Roboto" w:hAnsi="Roboto"/>
          <w:b w:val="0"/>
        </w:rPr>
      </w:pPr>
      <w:r w:rsidRPr="00AB226A">
        <w:rPr>
          <w:rFonts w:ascii="Roboto" w:hAnsi="Roboto"/>
        </w:rPr>
        <w:t xml:space="preserve">Question </w:t>
      </w:r>
      <w:r w:rsidR="003E2A8B">
        <w:rPr>
          <w:rFonts w:ascii="Roboto" w:hAnsi="Roboto"/>
        </w:rPr>
        <w:t>1</w:t>
      </w:r>
    </w:p>
    <w:p w14:paraId="19E3A2F2" w14:textId="77777777" w:rsidR="00A10497" w:rsidRPr="00AB226A" w:rsidRDefault="00A10497" w:rsidP="00CF3D5D">
      <w:pPr>
        <w:pStyle w:val="Encadr"/>
        <w:keepNext/>
        <w:rPr>
          <w:rFonts w:ascii="Roboto" w:hAnsi="Roboto"/>
        </w:rPr>
      </w:pPr>
    </w:p>
    <w:p w14:paraId="4CEED5F6" w14:textId="255C5732" w:rsidR="00A10497" w:rsidRDefault="00977686" w:rsidP="00CF3D5D">
      <w:pPr>
        <w:pStyle w:val="Encadr"/>
        <w:keepNext/>
        <w:contextualSpacing w:val="0"/>
        <w:rPr>
          <w:rFonts w:ascii="Roboto" w:hAnsi="Roboto"/>
        </w:rPr>
      </w:pPr>
      <w:r>
        <w:rPr>
          <w:rFonts w:ascii="Roboto" w:hAnsi="Roboto"/>
        </w:rPr>
        <w:t>Jugez-vous pertinent</w:t>
      </w:r>
      <w:r w:rsidR="0095542A">
        <w:rPr>
          <w:rFonts w:ascii="Roboto" w:hAnsi="Roboto"/>
        </w:rPr>
        <w:t xml:space="preserve"> le principe</w:t>
      </w:r>
      <w:r w:rsidR="00CB031F">
        <w:rPr>
          <w:rFonts w:ascii="Roboto" w:hAnsi="Roboto"/>
        </w:rPr>
        <w:t xml:space="preserve"> </w:t>
      </w:r>
      <w:r>
        <w:rPr>
          <w:rFonts w:ascii="Roboto" w:hAnsi="Roboto"/>
        </w:rPr>
        <w:t xml:space="preserve">de </w:t>
      </w:r>
      <w:r w:rsidR="00153C5B">
        <w:rPr>
          <w:rFonts w:ascii="Roboto" w:hAnsi="Roboto"/>
        </w:rPr>
        <w:t>différencier la facturation des prestations d’escale et de distribution de la facturation des autres prestations non</w:t>
      </w:r>
      <w:r w:rsidR="00EA29AB">
        <w:rPr>
          <w:rFonts w:ascii="Roboto" w:hAnsi="Roboto"/>
        </w:rPr>
        <w:t xml:space="preserve"> </w:t>
      </w:r>
      <w:r w:rsidR="004B3258">
        <w:rPr>
          <w:rFonts w:ascii="Roboto" w:hAnsi="Roboto"/>
        </w:rPr>
        <w:t>régulées ?</w:t>
      </w:r>
      <w:r w:rsidR="00A10497" w:rsidRPr="00B8679E">
        <w:rPr>
          <w:rFonts w:ascii="Roboto" w:hAnsi="Roboto"/>
        </w:rPr>
        <w:t xml:space="preserve"> </w:t>
      </w:r>
    </w:p>
    <w:p w14:paraId="2BD5FB75" w14:textId="65F66E9E" w:rsidR="003C7B14" w:rsidRDefault="003C7B14" w:rsidP="000A372B">
      <w:pPr>
        <w:pStyle w:val="Titre3"/>
      </w:pPr>
      <w:bookmarkStart w:id="30" w:name="_Ref153469775"/>
      <w:bookmarkStart w:id="31" w:name="_Toc156312806"/>
      <w:bookmarkStart w:id="32" w:name="_Toc157421586"/>
      <w:bookmarkStart w:id="33" w:name="_Toc1725724851"/>
      <w:r>
        <w:t xml:space="preserve">La facturation des prestations de distribution est </w:t>
      </w:r>
      <w:r w:rsidR="007853E1">
        <w:t xml:space="preserve">désormais </w:t>
      </w:r>
      <w:r>
        <w:t xml:space="preserve">réalisée sur la base des </w:t>
      </w:r>
      <w:r w:rsidR="002C71CA">
        <w:t>coûts attribuables à chaque activité, en faisant supporter les coûts fixes communs par l’utilisateur principal</w:t>
      </w:r>
      <w:bookmarkEnd w:id="30"/>
      <w:bookmarkEnd w:id="31"/>
      <w:bookmarkEnd w:id="32"/>
      <w:bookmarkEnd w:id="33"/>
    </w:p>
    <w:p w14:paraId="6D615E32" w14:textId="79FDBD6D" w:rsidR="00181817" w:rsidRDefault="00181817" w:rsidP="006D0530">
      <w:pPr>
        <w:pStyle w:val="Titre6"/>
      </w:pPr>
      <w:r>
        <w:t>Règle actuelle</w:t>
      </w:r>
    </w:p>
    <w:p w14:paraId="6BAB8880" w14:textId="41261787" w:rsidR="0043767C" w:rsidRDefault="0043767C" w:rsidP="006F2F0F">
      <w:pPr>
        <w:pStyle w:val="Paragraphenumrot"/>
      </w:pPr>
      <w:r>
        <w:t>Selon les règles actuelles de séparation comptable, les prestations de distribution</w:t>
      </w:r>
      <w:r w:rsidR="00B52898">
        <w:t xml:space="preserve"> de titres de transport aux guichets des gares</w:t>
      </w:r>
      <w:r>
        <w:t xml:space="preserve"> sont facturées entre activités sur la base de leur coût de revient moyen, c’est-à-dire en divisant le </w:t>
      </w:r>
      <w:r w:rsidR="00B52898">
        <w:t xml:space="preserve">coût complet de la distribution par le nombre </w:t>
      </w:r>
      <w:r w:rsidR="00126587">
        <w:t>d’unités d’œuvre pertinentes</w:t>
      </w:r>
      <w:r w:rsidR="00B52898">
        <w:t>.</w:t>
      </w:r>
    </w:p>
    <w:p w14:paraId="5488C238" w14:textId="77777777" w:rsidR="00181817" w:rsidRDefault="00181817" w:rsidP="00181817">
      <w:pPr>
        <w:pStyle w:val="Titre6"/>
      </w:pPr>
      <w:r>
        <w:t>Règle proposée</w:t>
      </w:r>
    </w:p>
    <w:p w14:paraId="1D8FB75C" w14:textId="151A1272" w:rsidR="00181817" w:rsidRDefault="00181817" w:rsidP="00181817">
      <w:pPr>
        <w:pStyle w:val="Paragraphedeliste"/>
      </w:pPr>
      <w:r>
        <w:t xml:space="preserve">SNCF Voyageurs propose de facturer les prestations de distribution sur la base des coûts attribuables à chaque activité, en faisant supporter les coûts fixes communs par l’utilisateur principal. </w:t>
      </w:r>
    </w:p>
    <w:p w14:paraId="2D7A162C" w14:textId="77777777" w:rsidR="00181817" w:rsidRDefault="00181817" w:rsidP="00181817">
      <w:pPr>
        <w:pStyle w:val="Titre6"/>
      </w:pPr>
      <w:r>
        <w:t>Analyse</w:t>
      </w:r>
    </w:p>
    <w:p w14:paraId="2A32F289" w14:textId="766C410A" w:rsidR="00A82F13" w:rsidRDefault="00A82F13" w:rsidP="006F2F0F">
      <w:pPr>
        <w:pStyle w:val="Paragraphenumrot"/>
      </w:pPr>
      <w:r>
        <w:t xml:space="preserve">La </w:t>
      </w:r>
      <w:r w:rsidR="00B52898">
        <w:t xml:space="preserve">nouvelle </w:t>
      </w:r>
      <w:r>
        <w:t>méthodologie de répartition des coûts de distribution de SNCF</w:t>
      </w:r>
      <w:r w:rsidR="00245419">
        <w:t> </w:t>
      </w:r>
      <w:r>
        <w:t>Voyageurs est effectuée en trois étapes :</w:t>
      </w:r>
    </w:p>
    <w:p w14:paraId="2824D561" w14:textId="5735BD31" w:rsidR="00A82F13" w:rsidRDefault="006F2F0F" w:rsidP="00A82F13">
      <w:pPr>
        <w:pStyle w:val="Paragraphedeliste"/>
        <w:numPr>
          <w:ilvl w:val="0"/>
          <w:numId w:val="12"/>
        </w:numPr>
        <w:ind w:left="426"/>
      </w:pPr>
      <w:r w:rsidRPr="006F2F0F">
        <w:t xml:space="preserve">Dans un premier temps, </w:t>
      </w:r>
      <w:r w:rsidR="00A82F13" w:rsidRPr="006F2F0F">
        <w:t>SNCF</w:t>
      </w:r>
      <w:r w:rsidR="00245419">
        <w:t> </w:t>
      </w:r>
      <w:r w:rsidR="00A82F13" w:rsidRPr="006F2F0F">
        <w:t>Voyageurs détermine</w:t>
      </w:r>
      <w:r w:rsidR="00A82F13">
        <w:t xml:space="preserve"> le coût de distribution</w:t>
      </w:r>
      <w:r>
        <w:t xml:space="preserve"> directement attribuable à chaque activité</w:t>
      </w:r>
      <w:r w:rsidR="00A82F13">
        <w:t xml:space="preserve">. </w:t>
      </w:r>
      <w:r w:rsidR="00245419">
        <w:t>À</w:t>
      </w:r>
      <w:r w:rsidR="00A82F13">
        <w:t xml:space="preserve"> cette fin, SNCF</w:t>
      </w:r>
      <w:r w:rsidR="00245419">
        <w:t> </w:t>
      </w:r>
      <w:r w:rsidR="00A82F13">
        <w:t xml:space="preserve">Voyageurs </w:t>
      </w:r>
      <w:r>
        <w:t xml:space="preserve">a </w:t>
      </w:r>
      <w:r w:rsidR="00A82F13">
        <w:t>réalis</w:t>
      </w:r>
      <w:r>
        <w:t>é</w:t>
      </w:r>
      <w:r w:rsidR="00A82F13">
        <w:t xml:space="preserve"> une modélisation </w:t>
      </w:r>
      <w:proofErr w:type="spellStart"/>
      <w:r w:rsidR="00A82F13" w:rsidRPr="000E140E">
        <w:rPr>
          <w:i/>
          <w:iCs/>
        </w:rPr>
        <w:t>bottom</w:t>
      </w:r>
      <w:proofErr w:type="spellEnd"/>
      <w:r w:rsidR="00794762" w:rsidRPr="000E140E">
        <w:rPr>
          <w:i/>
          <w:iCs/>
        </w:rPr>
        <w:noBreakHyphen/>
      </w:r>
      <w:r w:rsidR="00A82F13" w:rsidRPr="000E140E">
        <w:rPr>
          <w:i/>
          <w:iCs/>
        </w:rPr>
        <w:t>up</w:t>
      </w:r>
      <w:r w:rsidR="00A82F13">
        <w:t xml:space="preserve"> des coûts de distribution basée sur la mesure des temps consacrés aux différentes opérations réalisées dans les guichets pour le compte des différents transporteurs. Le temps d’opération attribué à chaque transporteur est ensuite obtenu en multipliant les temps unitaires mesurés par le nombre d’opérations réalisées, et est rapporté au temps de disponibilité théorique des agents des guichets, permettant ainsi de calculer la part du temps agent consacré</w:t>
      </w:r>
      <w:r w:rsidR="00A45404">
        <w:t>e</w:t>
      </w:r>
      <w:r w:rsidR="00A82F13">
        <w:t xml:space="preserve"> à chaque opérateur. SNCF Voyageurs applique ensuite ces ratios au coût de personnel des entités de production et considère que le coût obtenu </w:t>
      </w:r>
      <w:r>
        <w:t>constitue</w:t>
      </w:r>
      <w:r w:rsidR="00A82F13">
        <w:t xml:space="preserve"> le coût attribuable à chaque opérateur.</w:t>
      </w:r>
    </w:p>
    <w:p w14:paraId="281AB9D0" w14:textId="77CF3E78" w:rsidR="00A82F13" w:rsidRDefault="00A82F13" w:rsidP="00A82F13">
      <w:pPr>
        <w:ind w:left="426"/>
      </w:pPr>
      <w:r>
        <w:t xml:space="preserve">Cette méthode présente l’avantage de déterminer des coûts directement attribuables aux différents transporteurs, sans </w:t>
      </w:r>
      <w:r w:rsidR="002D51C0">
        <w:t xml:space="preserve">inclure </w:t>
      </w:r>
      <w:r>
        <w:t xml:space="preserve">de surcoûts liés à l’inefficacité ou au dimensionnement excessif des personnels présents dans les guichets. Le temps d’inactivité des agents n’est pas </w:t>
      </w:r>
      <w:r w:rsidR="006F2F0F">
        <w:t>facturé</w:t>
      </w:r>
      <w:r>
        <w:t xml:space="preserve"> aux transporteurs acheteurs de la prestation.</w:t>
      </w:r>
    </w:p>
    <w:p w14:paraId="22E2DB19" w14:textId="05A95D0D" w:rsidR="00DF6EF1" w:rsidRDefault="00A82F13" w:rsidP="00DF6EF1">
      <w:pPr>
        <w:pStyle w:val="Paragraphedeliste"/>
        <w:numPr>
          <w:ilvl w:val="0"/>
          <w:numId w:val="0"/>
        </w:numPr>
        <w:ind w:left="426"/>
      </w:pPr>
      <w:r w:rsidRPr="006F2F0F">
        <w:t xml:space="preserve">SNCF Voyageurs réalise </w:t>
      </w:r>
      <w:r w:rsidR="00DF6EF1">
        <w:t xml:space="preserve">par ailleurs </w:t>
      </w:r>
      <w:r w:rsidRPr="006F2F0F">
        <w:t xml:space="preserve">une analyse des autres postes de coûts de production et de support par catégorie et les affecte aux coûts </w:t>
      </w:r>
      <w:r w:rsidR="00DF6EF1">
        <w:t>attribuables aux activités</w:t>
      </w:r>
      <w:r w:rsidRPr="006F2F0F">
        <w:t xml:space="preserve"> lorsque c</w:t>
      </w:r>
      <w:r w:rsidR="009C0216">
        <w:t>‘</w:t>
      </w:r>
      <w:r w:rsidRPr="006F2F0F">
        <w:t xml:space="preserve">est pertinent. </w:t>
      </w:r>
    </w:p>
    <w:p w14:paraId="7940E494" w14:textId="350DAEFB" w:rsidR="00A82F13" w:rsidRDefault="00A82F13" w:rsidP="00DF6EF1">
      <w:pPr>
        <w:pStyle w:val="Paragraphedeliste"/>
        <w:numPr>
          <w:ilvl w:val="0"/>
          <w:numId w:val="0"/>
        </w:numPr>
        <w:ind w:left="426"/>
      </w:pPr>
      <w:r>
        <w:t>Les coûts</w:t>
      </w:r>
      <w:r w:rsidR="00DF6EF1">
        <w:t xml:space="preserve"> résiduels</w:t>
      </w:r>
      <w:r>
        <w:t xml:space="preserve"> sont considérés comme des coûts fixes communs.</w:t>
      </w:r>
    </w:p>
    <w:p w14:paraId="750E979F" w14:textId="5DE9D4DA" w:rsidR="00BD0B5F" w:rsidRDefault="006F2F0F" w:rsidP="00BD0B5F">
      <w:pPr>
        <w:pStyle w:val="Paragraphedeliste"/>
        <w:numPr>
          <w:ilvl w:val="0"/>
          <w:numId w:val="12"/>
        </w:numPr>
        <w:ind w:left="426"/>
      </w:pPr>
      <w:r w:rsidRPr="006F2F0F">
        <w:t xml:space="preserve">Dans un second temps, </w:t>
      </w:r>
      <w:r>
        <w:t>SN</w:t>
      </w:r>
      <w:r w:rsidR="6C81D792">
        <w:t>CF</w:t>
      </w:r>
      <w:r w:rsidR="006103C8">
        <w:t> </w:t>
      </w:r>
      <w:r w:rsidR="6C81D792">
        <w:t xml:space="preserve">Voyageurs </w:t>
      </w:r>
      <w:r w:rsidR="00A82F13" w:rsidRPr="00BD0B5F">
        <w:t xml:space="preserve">répartit </w:t>
      </w:r>
      <w:r w:rsidR="00DF6EF1" w:rsidRPr="00BD0B5F">
        <w:t>l</w:t>
      </w:r>
      <w:r w:rsidR="00A82F13" w:rsidRPr="00BD0B5F">
        <w:t>es coûts fixes communs</w:t>
      </w:r>
      <w:r w:rsidR="00DF6EF1" w:rsidRPr="00BD0B5F">
        <w:t xml:space="preserve"> entre activité, en suivant la règle dite de l’utilisateur principal</w:t>
      </w:r>
      <w:r w:rsidR="00A82F13">
        <w:t>, qui consiste à faire supporter l’ensemble des coûts fixes communs à l’utilisateur dimensionnant</w:t>
      </w:r>
      <w:r w:rsidR="007E4967">
        <w:rPr>
          <w:rStyle w:val="Appelnotedebasdep"/>
        </w:rPr>
        <w:footnoteReference w:id="12"/>
      </w:r>
      <w:r w:rsidR="00A82F13">
        <w:t>. L</w:t>
      </w:r>
      <w:r w:rsidR="00DF6EF1">
        <w:t xml:space="preserve">es </w:t>
      </w:r>
      <w:r w:rsidR="00A82F13">
        <w:t>utilisateur</w:t>
      </w:r>
      <w:r w:rsidR="00DF6EF1">
        <w:t>s</w:t>
      </w:r>
      <w:r w:rsidR="00A82F13">
        <w:t xml:space="preserve"> minoritaire</w:t>
      </w:r>
      <w:r w:rsidR="00DF6EF1">
        <w:t xml:space="preserve">s </w:t>
      </w:r>
      <w:r w:rsidR="00A82F13">
        <w:t>contribue</w:t>
      </w:r>
      <w:r w:rsidR="00DF6EF1">
        <w:t xml:space="preserve">nt de façon marginale </w:t>
      </w:r>
      <w:r w:rsidR="00A82F13">
        <w:t xml:space="preserve">à la couverture des coûts fixes communs, en supportant un montant de coûts fixes égal à 10% de </w:t>
      </w:r>
      <w:r w:rsidR="00CB1EAA">
        <w:t xml:space="preserve">leur </w:t>
      </w:r>
      <w:r w:rsidR="00A82F13">
        <w:t xml:space="preserve">coût </w:t>
      </w:r>
      <w:r w:rsidR="00DF6EF1">
        <w:t>attribuable</w:t>
      </w:r>
      <w:r w:rsidR="00A82F13">
        <w:t xml:space="preserve">. </w:t>
      </w:r>
    </w:p>
    <w:p w14:paraId="1387758F" w14:textId="7885E207" w:rsidR="00A82F13" w:rsidRDefault="00A82F13" w:rsidP="00BD0B5F">
      <w:pPr>
        <w:pStyle w:val="Paragraphedeliste"/>
        <w:numPr>
          <w:ilvl w:val="0"/>
          <w:numId w:val="0"/>
        </w:numPr>
        <w:ind w:left="426"/>
      </w:pPr>
      <w:r w:rsidRPr="000A4A16">
        <w:t xml:space="preserve">SNCF Voyageurs estime que cette approche est vertueuse, puisque l’utilisateur principal supporte la quasi-intégralité de ses coûts fixes, sans pouvoir les répercuter à </w:t>
      </w:r>
      <w:r w:rsidR="00FC69C4">
        <w:t>s</w:t>
      </w:r>
      <w:r w:rsidRPr="000A4A16">
        <w:t>es clients, et est par conséquent incité à réaliser des efforts pour maîtriser ses coûts.</w:t>
      </w:r>
    </w:p>
    <w:p w14:paraId="2C5B1C49" w14:textId="1A29B6D7" w:rsidR="00A82F13" w:rsidRDefault="00BD0B5F" w:rsidP="00BD0B5F">
      <w:pPr>
        <w:pStyle w:val="Paragraphedeliste"/>
        <w:numPr>
          <w:ilvl w:val="0"/>
          <w:numId w:val="12"/>
        </w:numPr>
        <w:ind w:left="426"/>
      </w:pPr>
      <w:r>
        <w:t xml:space="preserve">Dans un troisième temps, SNCF Voyageurs </w:t>
      </w:r>
      <w:r w:rsidR="00A82F13" w:rsidRPr="00BD0B5F">
        <w:rPr>
          <w:sz w:val="20"/>
          <w:szCs w:val="22"/>
        </w:rPr>
        <w:t>affect</w:t>
      </w:r>
      <w:r>
        <w:rPr>
          <w:sz w:val="20"/>
          <w:szCs w:val="22"/>
        </w:rPr>
        <w:t>e l</w:t>
      </w:r>
      <w:r w:rsidR="00A82F13" w:rsidRPr="00BD0B5F">
        <w:rPr>
          <w:sz w:val="20"/>
          <w:szCs w:val="22"/>
        </w:rPr>
        <w:t>es coûts de structure</w:t>
      </w:r>
      <w:r>
        <w:rPr>
          <w:sz w:val="20"/>
          <w:szCs w:val="22"/>
        </w:rPr>
        <w:t xml:space="preserve"> aux différentes activités </w:t>
      </w:r>
      <w:r>
        <w:t>au prorata des coûts déjà affectés dans les deux étapes précédentes</w:t>
      </w:r>
      <w:r w:rsidR="00A82F13">
        <w:t xml:space="preserve">. Cette méthode d’allocation est </w:t>
      </w:r>
      <w:r w:rsidR="000F399D">
        <w:t>conforme aux règles de séparation comptable de SNCF Voyageurs</w:t>
      </w:r>
      <w:r w:rsidR="00A82F13">
        <w:t xml:space="preserve"> et n’appelle pas de commentaire particulier</w:t>
      </w:r>
      <w:r>
        <w:t xml:space="preserve"> de la part de l’Autorité</w:t>
      </w:r>
      <w:r w:rsidR="00A82F13">
        <w:t>.</w:t>
      </w:r>
    </w:p>
    <w:p w14:paraId="62D3A4B9" w14:textId="4DE3E3F8" w:rsidR="007B512F" w:rsidRPr="00FC67FA" w:rsidRDefault="00D63680" w:rsidP="00D654FD">
      <w:pPr>
        <w:pStyle w:val="Paragraphenumrot"/>
      </w:pPr>
      <w:r>
        <w:t>L</w:t>
      </w:r>
      <w:r w:rsidR="00BD0B5F">
        <w:t>’</w:t>
      </w:r>
      <w:r w:rsidR="00A82F13">
        <w:t xml:space="preserve">Autorité estime </w:t>
      </w:r>
      <w:r w:rsidR="00153C5B">
        <w:t>que c</w:t>
      </w:r>
      <w:r w:rsidR="007B512F">
        <w:t xml:space="preserve">ette méthode est économiquement </w:t>
      </w:r>
      <w:r w:rsidR="00D654FD">
        <w:t>pertinente</w:t>
      </w:r>
      <w:r w:rsidR="007B512F">
        <w:t xml:space="preserve">, </w:t>
      </w:r>
      <w:r w:rsidR="00D654FD">
        <w:t xml:space="preserve">dans la mesure où elle rend </w:t>
      </w:r>
      <w:r w:rsidR="007B512F">
        <w:t xml:space="preserve">chaque </w:t>
      </w:r>
      <w:r w:rsidR="00153C5B">
        <w:t>activité</w:t>
      </w:r>
      <w:r w:rsidR="007B512F">
        <w:t xml:space="preserve"> </w:t>
      </w:r>
      <w:r w:rsidR="00D654FD">
        <w:t xml:space="preserve">réellement </w:t>
      </w:r>
      <w:r w:rsidR="007B512F">
        <w:t xml:space="preserve">responsable de la base de coûts fixes de son réseau de distribution et </w:t>
      </w:r>
      <w:r w:rsidR="00D654FD">
        <w:t xml:space="preserve">ne </w:t>
      </w:r>
      <w:r>
        <w:t xml:space="preserve">lui </w:t>
      </w:r>
      <w:r w:rsidR="00D654FD">
        <w:t>permet pas</w:t>
      </w:r>
      <w:r w:rsidR="007B512F">
        <w:t xml:space="preserve"> de faire supporter son inefficience sur ses clients. Les </w:t>
      </w:r>
      <w:r w:rsidR="00153C5B">
        <w:t>activités</w:t>
      </w:r>
      <w:r w:rsidR="007B512F">
        <w:t xml:space="preserve"> sont donc incité</w:t>
      </w:r>
      <w:r w:rsidR="00153C5B">
        <w:t>e</w:t>
      </w:r>
      <w:r w:rsidR="007B512F">
        <w:t>s à maîtriser leurs charges.</w:t>
      </w:r>
    </w:p>
    <w:p w14:paraId="7E50271E" w14:textId="642BE3A8" w:rsidR="003721B6" w:rsidRPr="00AB226A" w:rsidRDefault="003721B6" w:rsidP="00F31135">
      <w:pPr>
        <w:pStyle w:val="Encadr"/>
        <w:keepNext/>
        <w:spacing w:after="120"/>
        <w:contextualSpacing w:val="0"/>
        <w:rPr>
          <w:rFonts w:ascii="Roboto" w:hAnsi="Roboto"/>
          <w:b w:val="0"/>
        </w:rPr>
      </w:pPr>
      <w:r w:rsidRPr="00AB226A">
        <w:rPr>
          <w:rFonts w:ascii="Roboto" w:hAnsi="Roboto"/>
        </w:rPr>
        <w:t xml:space="preserve">Question </w:t>
      </w:r>
      <w:r w:rsidR="003E2A8B">
        <w:rPr>
          <w:rFonts w:ascii="Roboto" w:hAnsi="Roboto"/>
        </w:rPr>
        <w:t>2</w:t>
      </w:r>
    </w:p>
    <w:p w14:paraId="7AD7666F" w14:textId="35FE3763" w:rsidR="003721B6" w:rsidRDefault="003721B6" w:rsidP="00F31135">
      <w:pPr>
        <w:pStyle w:val="Encadr"/>
        <w:spacing w:before="120"/>
        <w:contextualSpacing w:val="0"/>
        <w:rPr>
          <w:rFonts w:ascii="Roboto" w:hAnsi="Roboto"/>
        </w:rPr>
      </w:pPr>
      <w:r>
        <w:rPr>
          <w:rFonts w:ascii="Roboto" w:hAnsi="Roboto"/>
        </w:rPr>
        <w:t>La méthode de facturation des prestations de distribution de titre</w:t>
      </w:r>
      <w:r w:rsidR="00BD0B5F">
        <w:rPr>
          <w:rFonts w:ascii="Roboto" w:hAnsi="Roboto"/>
        </w:rPr>
        <w:t>s</w:t>
      </w:r>
      <w:r>
        <w:rPr>
          <w:rFonts w:ascii="Roboto" w:hAnsi="Roboto"/>
        </w:rPr>
        <w:t xml:space="preserve"> de transport </w:t>
      </w:r>
      <w:r w:rsidR="00F4581D">
        <w:rPr>
          <w:rFonts w:ascii="Roboto" w:hAnsi="Roboto"/>
        </w:rPr>
        <w:t xml:space="preserve">en gares </w:t>
      </w:r>
      <w:r>
        <w:rPr>
          <w:rFonts w:ascii="Roboto" w:hAnsi="Roboto"/>
        </w:rPr>
        <w:t>appelle</w:t>
      </w:r>
      <w:r w:rsidR="00D63680">
        <w:rPr>
          <w:rFonts w:ascii="Roboto" w:hAnsi="Roboto"/>
        </w:rPr>
        <w:noBreakHyphen/>
      </w:r>
      <w:r>
        <w:rPr>
          <w:rFonts w:ascii="Roboto" w:hAnsi="Roboto"/>
        </w:rPr>
        <w:t>t</w:t>
      </w:r>
      <w:r w:rsidR="00D63680">
        <w:rPr>
          <w:rFonts w:ascii="Roboto" w:hAnsi="Roboto"/>
        </w:rPr>
        <w:noBreakHyphen/>
      </w:r>
      <w:r>
        <w:rPr>
          <w:rFonts w:ascii="Roboto" w:hAnsi="Roboto"/>
        </w:rPr>
        <w:t>elle des commentaires de votre part ?</w:t>
      </w:r>
      <w:r w:rsidRPr="00B8679E">
        <w:rPr>
          <w:rFonts w:ascii="Roboto" w:hAnsi="Roboto"/>
        </w:rPr>
        <w:t xml:space="preserve"> </w:t>
      </w:r>
    </w:p>
    <w:p w14:paraId="5B534BB1" w14:textId="3D241945" w:rsidR="002C71CA" w:rsidRDefault="002C71CA" w:rsidP="000A372B">
      <w:pPr>
        <w:pStyle w:val="Titre3"/>
      </w:pPr>
      <w:bookmarkStart w:id="34" w:name="_Toc156312807"/>
      <w:bookmarkStart w:id="35" w:name="_Toc157421587"/>
      <w:bookmarkStart w:id="36" w:name="_Toc1822178398"/>
      <w:r>
        <w:t xml:space="preserve">La facturation des prestations </w:t>
      </w:r>
      <w:r w:rsidR="00BD0B5F">
        <w:t>d’escale</w:t>
      </w:r>
      <w:r>
        <w:t xml:space="preserve"> est </w:t>
      </w:r>
      <w:r w:rsidR="007853E1">
        <w:t xml:space="preserve">désormais </w:t>
      </w:r>
      <w:r>
        <w:t>réalisée sur la base des coûts attribuables à chaque activité, en allouant les coûts communs au prorata des coûts attribuables</w:t>
      </w:r>
      <w:bookmarkEnd w:id="34"/>
      <w:bookmarkEnd w:id="35"/>
      <w:bookmarkEnd w:id="36"/>
    </w:p>
    <w:p w14:paraId="559EE633" w14:textId="66D633BE" w:rsidR="00181817" w:rsidRDefault="00181817" w:rsidP="006D0530">
      <w:pPr>
        <w:pStyle w:val="Titre6"/>
      </w:pPr>
      <w:bookmarkStart w:id="37" w:name="_Hlk157433841"/>
      <w:r>
        <w:t>Règle actuelle</w:t>
      </w:r>
      <w:bookmarkEnd w:id="37"/>
    </w:p>
    <w:p w14:paraId="6582257A" w14:textId="760269B9" w:rsidR="00B52898" w:rsidRDefault="00B52898" w:rsidP="00B52898">
      <w:pPr>
        <w:pStyle w:val="Paragraphenumrot"/>
      </w:pPr>
      <w:r>
        <w:t>Les règles actuelles de séparation comptable prévoient, comme pour toutes les facturations internes de prestations non-régulées, de facturer les prestations d’escale selon leur coût de revient moyen de l’unité d’œuvre.</w:t>
      </w:r>
    </w:p>
    <w:p w14:paraId="159D28B6" w14:textId="3D169EC2" w:rsidR="00181817" w:rsidRDefault="00181817" w:rsidP="00181817">
      <w:pPr>
        <w:pStyle w:val="Titre6"/>
      </w:pPr>
      <w:r>
        <w:t>Règle proposée</w:t>
      </w:r>
    </w:p>
    <w:p w14:paraId="542B1625" w14:textId="060B6082" w:rsidR="002F6BCF" w:rsidRDefault="00B52898" w:rsidP="00A44755">
      <w:pPr>
        <w:pStyle w:val="Paragraphedeliste"/>
      </w:pPr>
      <w:r>
        <w:t>SNCF Voyageurs propose de modifier cette règle et de faire reposer l</w:t>
      </w:r>
      <w:r w:rsidR="00BD0B5F">
        <w:t>a facturation des prestations d</w:t>
      </w:r>
      <w:r w:rsidR="00FB3FB9">
        <w:t>’escale</w:t>
      </w:r>
      <w:r w:rsidR="003020F8">
        <w:t>, comme celle des prestations de distribution,</w:t>
      </w:r>
      <w:r w:rsidR="00FB3FB9">
        <w:t xml:space="preserve"> sur </w:t>
      </w:r>
      <w:r>
        <w:t>les</w:t>
      </w:r>
      <w:r w:rsidR="00FB3FB9">
        <w:t xml:space="preserve"> coûts directement attribuables à chaque activité.</w:t>
      </w:r>
      <w:r w:rsidR="002F6BCF">
        <w:t xml:space="preserve"> </w:t>
      </w:r>
    </w:p>
    <w:p w14:paraId="47E29B07" w14:textId="5F164F64" w:rsidR="00181817" w:rsidRDefault="00181817" w:rsidP="00181817">
      <w:pPr>
        <w:pStyle w:val="Titre6"/>
      </w:pPr>
      <w:r>
        <w:t>Analyse</w:t>
      </w:r>
    </w:p>
    <w:p w14:paraId="771F8343" w14:textId="044F407A" w:rsidR="00BD0B5F" w:rsidRDefault="003020F8" w:rsidP="00A44755">
      <w:pPr>
        <w:pStyle w:val="Paragraphedeliste"/>
      </w:pPr>
      <w:r>
        <w:t xml:space="preserve">La facturation des prestations d’escale </w:t>
      </w:r>
      <w:r w:rsidR="002F6BCF">
        <w:t xml:space="preserve">diffère en revanche de </w:t>
      </w:r>
      <w:r>
        <w:t>celle de la distribution</w:t>
      </w:r>
      <w:r w:rsidR="002F6BCF">
        <w:t xml:space="preserve"> quant à la méthode d’affectation des </w:t>
      </w:r>
      <w:r w:rsidR="00A06C82">
        <w:t>coûts fixes communs</w:t>
      </w:r>
      <w:r w:rsidR="002F6BCF">
        <w:t>. En effet, le dimensionnement des coûts des prestations d’escale ne dépend pas uniquement des choix</w:t>
      </w:r>
      <w:r w:rsidR="00822F1F">
        <w:t xml:space="preserve"> des activités qui les réalisent, comme c’est le cas pour la distribution, mais de l’amplitude horaire de circulation des trains, que les activités qui réalisent la prestation ne ma</w:t>
      </w:r>
      <w:r w:rsidR="00C938DA">
        <w:t>î</w:t>
      </w:r>
      <w:r w:rsidR="00822F1F">
        <w:t xml:space="preserve">trisent pas. SNCF Voyageurs </w:t>
      </w:r>
      <w:r w:rsidR="00C938DA">
        <w:t xml:space="preserve">ne juge donc pas opportun d’appliquer la règle de l’utilisateur principal à la prestation d’escale, puisque l’activité utilisatrice principale de la prestation n’est pas nécessairement </w:t>
      </w:r>
      <w:r w:rsidR="00EE1D54">
        <w:t xml:space="preserve">l’activité dimensionnante des coûts, et propose une facturation spécifique pour couvrir les coûts fixes communs au prorata des coûts attribuables déterminés précédemment. </w:t>
      </w:r>
    </w:p>
    <w:p w14:paraId="5B7877AC" w14:textId="27B9AE5C" w:rsidR="00EE1D54" w:rsidRDefault="00EE1D54" w:rsidP="00A44755">
      <w:pPr>
        <w:pStyle w:val="Paragraphedeliste"/>
      </w:pPr>
      <w:r>
        <w:t xml:space="preserve">La facturation des charges de structure </w:t>
      </w:r>
      <w:r w:rsidR="000F399D">
        <w:t>est réalisée au prorata des charges allouées précédemment.</w:t>
      </w:r>
    </w:p>
    <w:p w14:paraId="0AC56B04" w14:textId="43B4A4CE" w:rsidR="00FB3FB9" w:rsidRDefault="00BC62B5" w:rsidP="00A44755">
      <w:pPr>
        <w:pStyle w:val="Paragraphedeliste"/>
      </w:pPr>
      <w:r>
        <w:t>En première approche, l</w:t>
      </w:r>
      <w:r w:rsidR="00A06C82">
        <w:t>’Autorité n’</w:t>
      </w:r>
      <w:r w:rsidR="00D63680">
        <w:t>a</w:t>
      </w:r>
      <w:r w:rsidR="00A06C82">
        <w:t xml:space="preserve"> pas d’objection quant à la méthode utilisée et estime que la différence de méthode d’allocation des coûts fixes entre les prestations de distribution et d’escale se justifie par les caractéristiques du dimensionnement des coûts de chacune. </w:t>
      </w:r>
      <w:bookmarkStart w:id="38" w:name="_Hlk157703559"/>
      <w:r w:rsidR="00A06C82">
        <w:t>Elle note cependant qu</w:t>
      </w:r>
      <w:r w:rsidR="00064D64">
        <w:t>’</w:t>
      </w:r>
      <w:r w:rsidR="005206F9">
        <w:t>en pratique, les résultats obtenus en allouant les coûts fixes communs au prorata des coûts attribuables diffèrent très peu de ceux résultant de l’application d’une facturation selon le prix de revient moyen de l’unité d’œuvre</w:t>
      </w:r>
      <w:bookmarkEnd w:id="38"/>
      <w:r w:rsidR="00B65D72">
        <w:t>.</w:t>
      </w:r>
    </w:p>
    <w:p w14:paraId="3F38B753" w14:textId="02C983B8" w:rsidR="006C7DDE" w:rsidRPr="00AB226A" w:rsidRDefault="006C7DDE" w:rsidP="00C4450E">
      <w:pPr>
        <w:pStyle w:val="Encadr"/>
        <w:keepNext/>
        <w:spacing w:after="120"/>
        <w:contextualSpacing w:val="0"/>
        <w:rPr>
          <w:rFonts w:ascii="Roboto" w:hAnsi="Roboto"/>
          <w:b w:val="0"/>
        </w:rPr>
      </w:pPr>
      <w:r w:rsidRPr="00AB226A">
        <w:rPr>
          <w:rFonts w:ascii="Roboto" w:hAnsi="Roboto"/>
        </w:rPr>
        <w:t xml:space="preserve">Question </w:t>
      </w:r>
      <w:bookmarkStart w:id="39" w:name="_Toc100839424"/>
      <w:bookmarkEnd w:id="39"/>
      <w:r w:rsidR="003E2A8B">
        <w:rPr>
          <w:rFonts w:ascii="Roboto" w:hAnsi="Roboto"/>
        </w:rPr>
        <w:t>3</w:t>
      </w:r>
    </w:p>
    <w:p w14:paraId="3D687224" w14:textId="02806FC5" w:rsidR="006C7DDE" w:rsidRDefault="00C938DA" w:rsidP="006C7DDE">
      <w:pPr>
        <w:pStyle w:val="Encadr"/>
        <w:contextualSpacing w:val="0"/>
        <w:rPr>
          <w:rFonts w:ascii="Roboto" w:hAnsi="Roboto"/>
        </w:rPr>
      </w:pPr>
      <w:bookmarkStart w:id="40" w:name="_Toc100839425"/>
      <w:bookmarkEnd w:id="40"/>
      <w:r>
        <w:rPr>
          <w:rFonts w:ascii="Roboto" w:hAnsi="Roboto"/>
        </w:rPr>
        <w:t>L</w:t>
      </w:r>
      <w:r w:rsidR="0095542A">
        <w:rPr>
          <w:rFonts w:ascii="Roboto" w:hAnsi="Roboto"/>
        </w:rPr>
        <w:t>es évolutions de la</w:t>
      </w:r>
      <w:r>
        <w:rPr>
          <w:rFonts w:ascii="Roboto" w:hAnsi="Roboto"/>
        </w:rPr>
        <w:t xml:space="preserve"> méthode de facturation des prestations </w:t>
      </w:r>
      <w:r w:rsidR="00F4581D">
        <w:rPr>
          <w:rFonts w:ascii="Roboto" w:hAnsi="Roboto"/>
        </w:rPr>
        <w:t>d’escale</w:t>
      </w:r>
      <w:r>
        <w:rPr>
          <w:rFonts w:ascii="Roboto" w:hAnsi="Roboto"/>
        </w:rPr>
        <w:t xml:space="preserve"> appelle</w:t>
      </w:r>
      <w:r w:rsidR="00A20907">
        <w:rPr>
          <w:rFonts w:ascii="Roboto" w:hAnsi="Roboto"/>
        </w:rPr>
        <w:t>nt</w:t>
      </w:r>
      <w:r>
        <w:rPr>
          <w:rFonts w:ascii="Roboto" w:hAnsi="Roboto"/>
        </w:rPr>
        <w:t>-elle</w:t>
      </w:r>
      <w:r w:rsidR="00A20907">
        <w:rPr>
          <w:rFonts w:ascii="Roboto" w:hAnsi="Roboto"/>
        </w:rPr>
        <w:t>s</w:t>
      </w:r>
      <w:r>
        <w:rPr>
          <w:rFonts w:ascii="Roboto" w:hAnsi="Roboto"/>
        </w:rPr>
        <w:t xml:space="preserve"> des commentaires de votre part </w:t>
      </w:r>
      <w:r w:rsidR="006C7DDE">
        <w:rPr>
          <w:rFonts w:ascii="Roboto" w:hAnsi="Roboto"/>
        </w:rPr>
        <w:t>?</w:t>
      </w:r>
      <w:bookmarkStart w:id="41" w:name="_Toc100839426"/>
      <w:bookmarkEnd w:id="41"/>
    </w:p>
    <w:p w14:paraId="0E2C2834" w14:textId="4F0E6122" w:rsidR="006021BD" w:rsidRDefault="00120B3E" w:rsidP="000A372B">
      <w:pPr>
        <w:pStyle w:val="Titre2"/>
      </w:pPr>
      <w:bookmarkStart w:id="42" w:name="_Toc156312808"/>
      <w:bookmarkStart w:id="43" w:name="_Toc157421588"/>
      <w:bookmarkStart w:id="44" w:name="_Toc987694068"/>
      <w:r>
        <w:t>SNCF</w:t>
      </w:r>
      <w:r w:rsidR="00F31135">
        <w:t> </w:t>
      </w:r>
      <w:r>
        <w:t>Voyageurs propose de modifier ses règles de séparation comptable concernant la détermination des charges financières de</w:t>
      </w:r>
      <w:r w:rsidR="7C9BF249">
        <w:t xml:space="preserve"> moyen-</w:t>
      </w:r>
      <w:r>
        <w:t>long terme</w:t>
      </w:r>
      <w:bookmarkEnd w:id="42"/>
      <w:bookmarkEnd w:id="43"/>
      <w:bookmarkEnd w:id="44"/>
    </w:p>
    <w:p w14:paraId="69194EA2" w14:textId="5C07BBAB" w:rsidR="005F0BA9" w:rsidRPr="00631EC4" w:rsidRDefault="005F0BA9" w:rsidP="000A372B">
      <w:pPr>
        <w:pStyle w:val="Titre3"/>
      </w:pPr>
      <w:bookmarkStart w:id="45" w:name="_Toc156312809"/>
      <w:bookmarkStart w:id="46" w:name="_Toc157421589"/>
      <w:bookmarkStart w:id="47" w:name="_Toc484002271"/>
      <w:r>
        <w:t xml:space="preserve">SNCF Voyageurs prévoit une réalisation pluriannuelle des notations financières des activités comptablement séparées et la détermination des taux à </w:t>
      </w:r>
      <w:r w:rsidR="67F6D6C4">
        <w:t>moyen</w:t>
      </w:r>
      <w:r w:rsidR="64E59BE3">
        <w:t>-</w:t>
      </w:r>
      <w:r>
        <w:t>long terme associés par un cabinet de conseil externe</w:t>
      </w:r>
      <w:bookmarkEnd w:id="45"/>
      <w:bookmarkEnd w:id="46"/>
      <w:bookmarkEnd w:id="47"/>
      <w:r>
        <w:t xml:space="preserve"> </w:t>
      </w:r>
    </w:p>
    <w:p w14:paraId="732E7E57" w14:textId="77777777" w:rsidR="000B6477" w:rsidRDefault="000B6477" w:rsidP="000B6477">
      <w:pPr>
        <w:pStyle w:val="Titre6"/>
      </w:pPr>
      <w:r>
        <w:t>Règle actuelle</w:t>
      </w:r>
    </w:p>
    <w:p w14:paraId="20E8387E" w14:textId="2973A1B6" w:rsidR="00586663" w:rsidRDefault="00586663" w:rsidP="00A44755">
      <w:pPr>
        <w:pStyle w:val="Paragraphenumrot"/>
      </w:pPr>
      <w:r>
        <w:t>Les règles de séparation comptable actuellement en vigueur prévoient que</w:t>
      </w:r>
      <w:r w:rsidR="00ED2848">
        <w:t xml:space="preserve"> </w:t>
      </w:r>
      <w:r w:rsidR="0095542A">
        <w:t>l’évaluation du niveau des charges financières</w:t>
      </w:r>
      <w:r w:rsidR="003103B0">
        <w:t xml:space="preserve"> ainsi que le contrôle de</w:t>
      </w:r>
      <w:r w:rsidR="0095542A">
        <w:t xml:space="preserve"> </w:t>
      </w:r>
      <w:r>
        <w:t>l</w:t>
      </w:r>
      <w:r w:rsidR="003103B0">
        <w:t>’adéquation</w:t>
      </w:r>
      <w:r>
        <w:t xml:space="preserve"> du niveau de dette et de capital de chaque activité comptablement séparée </w:t>
      </w:r>
      <w:r w:rsidR="005C30BD">
        <w:t>soi</w:t>
      </w:r>
      <w:r w:rsidR="00BC62B5">
        <w:t>en</w:t>
      </w:r>
      <w:r w:rsidR="005C30BD">
        <w:t xml:space="preserve">t </w:t>
      </w:r>
      <w:r w:rsidR="615F8838">
        <w:t>effectué</w:t>
      </w:r>
      <w:r w:rsidR="00BC62B5">
        <w:t>s</w:t>
      </w:r>
      <w:r w:rsidR="005C30BD">
        <w:t xml:space="preserve"> sur la base d’</w:t>
      </w:r>
      <w:r>
        <w:t>une analyse financière réalisée annuellement par un établissement financier externe, qui détermine la notation de chaque activité selon la méthode de Standards</w:t>
      </w:r>
      <w:r w:rsidR="00ED2848">
        <w:t> </w:t>
      </w:r>
      <w:r>
        <w:t>&amp;</w:t>
      </w:r>
      <w:r w:rsidR="00ED2848">
        <w:t> </w:t>
      </w:r>
      <w:proofErr w:type="spellStart"/>
      <w:r w:rsidR="005C30BD">
        <w:t>Poor’s</w:t>
      </w:r>
      <w:proofErr w:type="spellEnd"/>
      <w:r w:rsidR="00BC62B5">
        <w:t>,</w:t>
      </w:r>
      <w:r>
        <w:t xml:space="preserve"> en tenant compte</w:t>
      </w:r>
      <w:r w:rsidR="00BC62B5">
        <w:t>,</w:t>
      </w:r>
      <w:r>
        <w:t xml:space="preserve"> d</w:t>
      </w:r>
      <w:r w:rsidR="005C30BD">
        <w:t>’une part</w:t>
      </w:r>
      <w:r w:rsidR="00BC62B5">
        <w:t>,</w:t>
      </w:r>
      <w:r w:rsidR="005C30BD">
        <w:t xml:space="preserve"> </w:t>
      </w:r>
      <w:r w:rsidR="6599D8D3">
        <w:t xml:space="preserve">de l’analyse </w:t>
      </w:r>
      <w:r>
        <w:t xml:space="preserve">du risque intrinsèque de chaque activité sur la base des comptes historiques et prévisionnels, </w:t>
      </w:r>
      <w:r w:rsidR="005C30BD">
        <w:t>d’autre part</w:t>
      </w:r>
      <w:r w:rsidR="00BC62B5">
        <w:t>,</w:t>
      </w:r>
      <w:r w:rsidR="005C30BD">
        <w:t xml:space="preserve"> </w:t>
      </w:r>
      <w:r w:rsidR="0C9CF4A0">
        <w:t xml:space="preserve">de l’analyse </w:t>
      </w:r>
      <w:r>
        <w:t>du niveau de risque du secteur d’activité.</w:t>
      </w:r>
      <w:r w:rsidR="68550F6B">
        <w:t xml:space="preserve"> </w:t>
      </w:r>
      <w:r w:rsidR="00ED2848">
        <w:t>L</w:t>
      </w:r>
      <w:r w:rsidR="68550F6B">
        <w:t>e taux financier moyen</w:t>
      </w:r>
      <w:r w:rsidR="00BC62B5">
        <w:t>-</w:t>
      </w:r>
      <w:r w:rsidR="68550F6B">
        <w:t xml:space="preserve">long terme représente la moyenne sur </w:t>
      </w:r>
      <w:r w:rsidR="0150C334">
        <w:t>trois</w:t>
      </w:r>
      <w:r w:rsidR="68550F6B">
        <w:t xml:space="preserve"> ans des taux </w:t>
      </w:r>
      <w:r w:rsidR="68550F6B" w:rsidRPr="6F8CEE91">
        <w:rPr>
          <w:i/>
          <w:iCs/>
        </w:rPr>
        <w:t>Reuters</w:t>
      </w:r>
      <w:r w:rsidR="68550F6B">
        <w:t xml:space="preserve"> </w:t>
      </w:r>
      <w:r w:rsidR="00D42DFD">
        <w:t>relatifs à ces niveaux de risque</w:t>
      </w:r>
      <w:r w:rsidR="68550F6B">
        <w:t>.</w:t>
      </w:r>
    </w:p>
    <w:p w14:paraId="1982FD25" w14:textId="77777777" w:rsidR="000B6477" w:rsidRDefault="000B6477" w:rsidP="000B6477">
      <w:pPr>
        <w:pStyle w:val="Titre6"/>
      </w:pPr>
      <w:r>
        <w:t>Règle proposée</w:t>
      </w:r>
    </w:p>
    <w:p w14:paraId="693825FE" w14:textId="25E6472C" w:rsidR="005C30BD" w:rsidRPr="00586663" w:rsidRDefault="005C30BD" w:rsidP="005D6D43">
      <w:pPr>
        <w:pStyle w:val="Paragraphenumrot"/>
      </w:pPr>
      <w:r>
        <w:t xml:space="preserve">SNCF Voyageurs </w:t>
      </w:r>
      <w:r w:rsidR="005D6D43">
        <w:t>propose, dans ses nouvelles règles de séparation comptable soumises à l’Autorité, que la détermination de la notation financière soit désormais réalisée</w:t>
      </w:r>
      <w:r w:rsidR="73055C8B">
        <w:t xml:space="preserve"> </w:t>
      </w:r>
      <w:r w:rsidR="005D6D43">
        <w:t>par un expert externe</w:t>
      </w:r>
      <w:r w:rsidR="45B7DC3F">
        <w:t xml:space="preserve"> avec une validité </w:t>
      </w:r>
      <w:r w:rsidR="1B3EB11C">
        <w:t xml:space="preserve">maximale </w:t>
      </w:r>
      <w:r w:rsidR="197DE6CE">
        <w:t xml:space="preserve">de </w:t>
      </w:r>
      <w:r w:rsidR="45B7DC3F">
        <w:t>trois ans</w:t>
      </w:r>
      <w:r w:rsidR="4D3A1DFD">
        <w:t>.</w:t>
      </w:r>
    </w:p>
    <w:p w14:paraId="3DD80192" w14:textId="12EAA45C" w:rsidR="000B6477" w:rsidRDefault="000B6477" w:rsidP="000B6477">
      <w:pPr>
        <w:pStyle w:val="Titre6"/>
      </w:pPr>
      <w:r>
        <w:t>Analyse</w:t>
      </w:r>
    </w:p>
    <w:p w14:paraId="2D556524" w14:textId="5FCCC421" w:rsidR="00AE5AC5" w:rsidRDefault="00DA26A1" w:rsidP="660AB87A">
      <w:pPr>
        <w:pStyle w:val="Paragraphedeliste"/>
      </w:pPr>
      <w:r>
        <w:t xml:space="preserve">En première approche, </w:t>
      </w:r>
      <w:r w:rsidR="0056016C">
        <w:t xml:space="preserve">la décision de </w:t>
      </w:r>
      <w:r w:rsidR="00BD708A">
        <w:t>détermin</w:t>
      </w:r>
      <w:r w:rsidR="0056016C">
        <w:t>er</w:t>
      </w:r>
      <w:r w:rsidR="00BD708A">
        <w:t xml:space="preserve"> </w:t>
      </w:r>
      <w:bookmarkStart w:id="48" w:name="_Hlk146289713"/>
      <w:r w:rsidR="0056016C">
        <w:t xml:space="preserve">une note pluriannuelle </w:t>
      </w:r>
      <w:r w:rsidR="00BD708A">
        <w:t xml:space="preserve">des activités comptablement séparées </w:t>
      </w:r>
      <w:bookmarkEnd w:id="48"/>
      <w:r>
        <w:t xml:space="preserve">paraît </w:t>
      </w:r>
      <w:r w:rsidR="00883340">
        <w:t>accept</w:t>
      </w:r>
      <w:r>
        <w:t>able</w:t>
      </w:r>
      <w:r w:rsidR="00883340">
        <w:t xml:space="preserve"> en l’absence d’év</w:t>
      </w:r>
      <w:r w:rsidR="2E457221">
        <w:t>é</w:t>
      </w:r>
      <w:r w:rsidR="00883340">
        <w:t>nements significatifs susceptible de remettre en cause la notation</w:t>
      </w:r>
      <w:r>
        <w:t>,</w:t>
      </w:r>
      <w:r w:rsidR="00883340">
        <w:t xml:space="preserve"> tout en réduisant les co</w:t>
      </w:r>
      <w:r w:rsidR="0591FEFD">
        <w:t>û</w:t>
      </w:r>
      <w:r w:rsidR="00883340">
        <w:t>ts d’établissement des comptes séparés</w:t>
      </w:r>
      <w:r w:rsidR="002C65DD">
        <w:t xml:space="preserve">. </w:t>
      </w:r>
      <w:r>
        <w:t xml:space="preserve">Par ailleurs, l’Autorité </w:t>
      </w:r>
      <w:r w:rsidR="002C65DD">
        <w:t xml:space="preserve">ne voit pas d’inconvénient à ce que les analyses soient menées par un </w:t>
      </w:r>
      <w:r w:rsidR="00CB2DAB">
        <w:t xml:space="preserve">cabinet de conseil </w:t>
      </w:r>
      <w:r w:rsidR="002C65DD">
        <w:t>indépendant plutôt que par un établissement financier</w:t>
      </w:r>
      <w:r>
        <w:t>,</w:t>
      </w:r>
      <w:r w:rsidR="3D467B84">
        <w:t xml:space="preserve"> dans la mesure où celui-ci </w:t>
      </w:r>
      <w:r w:rsidR="00F94B95">
        <w:t>s</w:t>
      </w:r>
      <w:r w:rsidR="3D467B84">
        <w:t xml:space="preserve">e </w:t>
      </w:r>
      <w:r w:rsidR="00B83E0E">
        <w:t>fonde</w:t>
      </w:r>
      <w:r w:rsidR="3D467B84">
        <w:t xml:space="preserve"> sur les </w:t>
      </w:r>
      <w:r w:rsidR="00F94B95">
        <w:t>pratiques d</w:t>
      </w:r>
      <w:r w:rsidR="3D467B84">
        <w:t>es principales agences</w:t>
      </w:r>
      <w:r w:rsidR="58F09B81">
        <w:t xml:space="preserve"> de notatio</w:t>
      </w:r>
      <w:r w:rsidR="3EEC1295">
        <w:t>n</w:t>
      </w:r>
      <w:r w:rsidR="00B67870">
        <w:t>.</w:t>
      </w:r>
    </w:p>
    <w:p w14:paraId="783E5CEB" w14:textId="7B69D899" w:rsidR="006C7DDE" w:rsidRPr="003D39B4" w:rsidRDefault="006C7DDE" w:rsidP="00CF3D5D">
      <w:pPr>
        <w:pStyle w:val="Encadr"/>
        <w:keepNext/>
        <w:contextualSpacing w:val="0"/>
      </w:pPr>
      <w:r w:rsidRPr="00631EC4">
        <w:rPr>
          <w:rFonts w:ascii="Roboto" w:hAnsi="Roboto"/>
        </w:rPr>
        <w:t xml:space="preserve">Question </w:t>
      </w:r>
      <w:r w:rsidR="00AF2A3D">
        <w:rPr>
          <w:rFonts w:ascii="Roboto" w:hAnsi="Roboto"/>
        </w:rPr>
        <w:t>5</w:t>
      </w:r>
    </w:p>
    <w:p w14:paraId="3B6B07DF" w14:textId="4AB32A9A" w:rsidR="006C7DDE" w:rsidRDefault="0056016C" w:rsidP="762728A1">
      <w:pPr>
        <w:pStyle w:val="Encadr"/>
        <w:keepNext/>
        <w:rPr>
          <w:rFonts w:ascii="Roboto" w:hAnsi="Roboto"/>
        </w:rPr>
      </w:pPr>
      <w:r w:rsidRPr="2945DEEA">
        <w:rPr>
          <w:rFonts w:ascii="Roboto" w:hAnsi="Roboto"/>
        </w:rPr>
        <w:t xml:space="preserve">Les évolutions apportées à la méthode de notation financière des activités séparées appellent-elle des commentaires de votre </w:t>
      </w:r>
      <w:r w:rsidR="00CB2DAB" w:rsidRPr="2945DEEA">
        <w:rPr>
          <w:rFonts w:ascii="Roboto" w:hAnsi="Roboto"/>
        </w:rPr>
        <w:t>part</w:t>
      </w:r>
      <w:r w:rsidR="00F31135">
        <w:rPr>
          <w:rFonts w:ascii="Roboto" w:hAnsi="Roboto"/>
        </w:rPr>
        <w:t> </w:t>
      </w:r>
      <w:r w:rsidR="00CB2DAB" w:rsidRPr="2945DEEA">
        <w:rPr>
          <w:rFonts w:ascii="Roboto" w:hAnsi="Roboto"/>
        </w:rPr>
        <w:t>?</w:t>
      </w:r>
      <w:r w:rsidR="006C7DDE" w:rsidRPr="2945DEEA">
        <w:rPr>
          <w:rFonts w:ascii="Roboto" w:hAnsi="Roboto"/>
        </w:rPr>
        <w:t xml:space="preserve"> </w:t>
      </w:r>
    </w:p>
    <w:p w14:paraId="7F61356D" w14:textId="3D56DDA1" w:rsidR="009A3168" w:rsidRPr="00EC6879" w:rsidRDefault="0056016C" w:rsidP="000A372B">
      <w:pPr>
        <w:pStyle w:val="Titre3"/>
      </w:pPr>
      <w:bookmarkStart w:id="49" w:name="_Toc156312810"/>
      <w:bookmarkStart w:id="50" w:name="_Toc157421590"/>
      <w:bookmarkStart w:id="51" w:name="_Toc230969757"/>
      <w:r>
        <w:t xml:space="preserve">SNCF Voyageurs propose de prendre en compte, pour </w:t>
      </w:r>
      <w:r w:rsidR="60A15CAC">
        <w:t>le taux</w:t>
      </w:r>
      <w:r>
        <w:t xml:space="preserve"> de financement de </w:t>
      </w:r>
      <w:r w:rsidR="41582227">
        <w:t>moyen-</w:t>
      </w:r>
      <w:r>
        <w:t xml:space="preserve">long terme, </w:t>
      </w:r>
      <w:r w:rsidR="15136016">
        <w:t xml:space="preserve">une maturité équivalente à la durée de vie résiduelle </w:t>
      </w:r>
      <w:r w:rsidR="07987372">
        <w:t xml:space="preserve">réelle </w:t>
      </w:r>
      <w:r w:rsidR="15136016">
        <w:t xml:space="preserve">moyenne d’utilisation des actifs </w:t>
      </w:r>
      <w:r w:rsidR="5A3AC648">
        <w:t>plafonnée</w:t>
      </w:r>
      <w:r w:rsidR="0080571F">
        <w:t xml:space="preserve"> </w:t>
      </w:r>
      <w:r w:rsidR="15136016">
        <w:t>à 10 ans</w:t>
      </w:r>
      <w:bookmarkEnd w:id="49"/>
      <w:bookmarkEnd w:id="50"/>
      <w:bookmarkEnd w:id="51"/>
    </w:p>
    <w:p w14:paraId="2FC4F22E" w14:textId="77777777" w:rsidR="00A14499" w:rsidRDefault="00A14499" w:rsidP="00A14499">
      <w:pPr>
        <w:pStyle w:val="Titre6"/>
      </w:pPr>
      <w:r>
        <w:t>Règle actuelle</w:t>
      </w:r>
    </w:p>
    <w:p w14:paraId="693FF4A2" w14:textId="7CD904EE" w:rsidR="00586663" w:rsidRPr="00EC6879" w:rsidRDefault="0056016C" w:rsidP="3C84CCE4">
      <w:pPr>
        <w:pStyle w:val="Paragraphedeliste"/>
        <w:rPr>
          <w:b/>
          <w:bCs/>
        </w:rPr>
      </w:pPr>
      <w:r w:rsidRPr="00EC6879">
        <w:t xml:space="preserve">Dans les règles de séparation comptable actuelles, la maturité du taux de financement est définie </w:t>
      </w:r>
      <w:r w:rsidR="5513F2C3" w:rsidRPr="00EC6879">
        <w:t xml:space="preserve">annuellement </w:t>
      </w:r>
      <w:r w:rsidRPr="00EC6879">
        <w:t xml:space="preserve">en référence à la durée de vie </w:t>
      </w:r>
      <w:r w:rsidR="40AF6002" w:rsidRPr="00EC6879">
        <w:t xml:space="preserve">résiduelle </w:t>
      </w:r>
      <w:r w:rsidRPr="00EC6879">
        <w:t xml:space="preserve">des actifs immobilisés de </w:t>
      </w:r>
      <w:r w:rsidR="42C05D57" w:rsidRPr="00EC6879">
        <w:t xml:space="preserve">chaque </w:t>
      </w:r>
      <w:r w:rsidRPr="00EC6879">
        <w:t>activité</w:t>
      </w:r>
      <w:r w:rsidR="00CB2DAB" w:rsidRPr="00EC6879">
        <w:t>,</w:t>
      </w:r>
      <w:r w:rsidRPr="00EC6879">
        <w:t xml:space="preserve"> en tenant compte des contraintes des références des marchés financie</w:t>
      </w:r>
      <w:r w:rsidRPr="6F8CEE91">
        <w:rPr>
          <w:rFonts w:eastAsiaTheme="minorEastAsia"/>
        </w:rPr>
        <w:t>rs</w:t>
      </w:r>
      <w:r w:rsidR="00B211CE" w:rsidRPr="6F8CEE91">
        <w:rPr>
          <w:rFonts w:eastAsiaTheme="minorEastAsia"/>
        </w:rPr>
        <w:t>.</w:t>
      </w:r>
      <w:r w:rsidR="009578E9" w:rsidRPr="6F8CEE91">
        <w:rPr>
          <w:rFonts w:eastAsiaTheme="minorEastAsia"/>
        </w:rPr>
        <w:t xml:space="preserve"> Pour les actifs d’une durée de vie supérieure à cinq ans, la maturité retenue </w:t>
      </w:r>
      <w:r w:rsidR="0C287E20" w:rsidRPr="095971B8">
        <w:rPr>
          <w:rFonts w:eastAsiaTheme="minorEastAsia"/>
        </w:rPr>
        <w:t>est</w:t>
      </w:r>
      <w:r w:rsidR="31839BC0" w:rsidRPr="095971B8">
        <w:rPr>
          <w:rFonts w:eastAsiaTheme="minorEastAsia"/>
        </w:rPr>
        <w:t xml:space="preserve"> plafonnée en fonction de la maturité résiduelle de la dette de SNCF Voyageurs</w:t>
      </w:r>
      <w:r w:rsidR="6598A388" w:rsidRPr="095971B8">
        <w:rPr>
          <w:rFonts w:eastAsiaTheme="minorEastAsia"/>
        </w:rPr>
        <w:t>.</w:t>
      </w:r>
      <w:r w:rsidR="31839BC0" w:rsidRPr="095971B8">
        <w:rPr>
          <w:rFonts w:eastAsiaTheme="minorEastAsia"/>
        </w:rPr>
        <w:t xml:space="preserve"> </w:t>
      </w:r>
      <w:r w:rsidR="006E24FB" w:rsidRPr="6F8CEE91">
        <w:rPr>
          <w:rFonts w:eastAsiaTheme="minorEastAsia"/>
        </w:rPr>
        <w:fldChar w:fldCharType="begin"/>
      </w:r>
      <w:r w:rsidR="006E24FB" w:rsidRPr="6F8CEE91">
        <w:rPr>
          <w:rFonts w:eastAsiaTheme="minorEastAsia"/>
        </w:rPr>
        <w:instrText xml:space="preserve"> REF _Ref156223560 \r \h </w:instrText>
      </w:r>
      <w:r w:rsidR="00EC6879" w:rsidRPr="6F8CEE91">
        <w:rPr>
          <w:rFonts w:eastAsiaTheme="minorEastAsia"/>
        </w:rPr>
        <w:instrText xml:space="preserve"> \* MERGEFORMAT </w:instrText>
      </w:r>
      <w:r w:rsidR="006E24FB" w:rsidRPr="6F8CEE91">
        <w:rPr>
          <w:rFonts w:eastAsiaTheme="minorEastAsia"/>
        </w:rPr>
      </w:r>
      <w:r w:rsidR="00FE2334">
        <w:rPr>
          <w:rFonts w:eastAsiaTheme="minorEastAsia"/>
        </w:rPr>
        <w:fldChar w:fldCharType="separate"/>
      </w:r>
      <w:r w:rsidR="006E24FB" w:rsidRPr="6F8CEE91">
        <w:rPr>
          <w:rFonts w:eastAsiaTheme="minorEastAsia"/>
        </w:rPr>
        <w:fldChar w:fldCharType="end"/>
      </w:r>
    </w:p>
    <w:p w14:paraId="5F372BDB" w14:textId="77777777" w:rsidR="00A14499" w:rsidRDefault="00A14499" w:rsidP="00A14499">
      <w:pPr>
        <w:pStyle w:val="Titre6"/>
      </w:pPr>
      <w:r>
        <w:t>Règle proposée</w:t>
      </w:r>
    </w:p>
    <w:p w14:paraId="0ACD0A8D" w14:textId="2C9F07D0" w:rsidR="660AB87A" w:rsidRPr="00EC6879" w:rsidRDefault="00CB2DAB" w:rsidP="006D75A1">
      <w:pPr>
        <w:pStyle w:val="Paragraphedeliste"/>
        <w:rPr>
          <w:rFonts w:eastAsiaTheme="minorEastAsia" w:cs="Roboto"/>
          <w:color w:val="000000" w:themeColor="text1"/>
        </w:rPr>
      </w:pPr>
      <w:r>
        <w:t xml:space="preserve">SNCF Voyageurs propose </w:t>
      </w:r>
      <w:r w:rsidR="00E738EF">
        <w:t>d’amender</w:t>
      </w:r>
      <w:r>
        <w:t xml:space="preserve"> cette règle en retenant</w:t>
      </w:r>
      <w:r w:rsidR="00DA26A1">
        <w:t>,</w:t>
      </w:r>
      <w:r>
        <w:t xml:space="preserve"> </w:t>
      </w:r>
      <w:r w:rsidR="00E738EF">
        <w:t>comme maturité de la dette</w:t>
      </w:r>
      <w:r w:rsidR="00DA26A1">
        <w:t>,</w:t>
      </w:r>
      <w:r w:rsidR="00E738EF">
        <w:t xml:space="preserve"> </w:t>
      </w:r>
      <w:r w:rsidR="00E738EF" w:rsidRPr="6F8CEE91">
        <w:rPr>
          <w:color w:val="000000" w:themeColor="text1"/>
        </w:rPr>
        <w:t xml:space="preserve">la durée de vie moyenne des actifs qu’elle finance, étant entendu que cette maturité ne peut </w:t>
      </w:r>
      <w:r w:rsidR="08A278DB" w:rsidRPr="6F8CEE91">
        <w:rPr>
          <w:color w:val="000000" w:themeColor="text1"/>
        </w:rPr>
        <w:t xml:space="preserve">désormais </w:t>
      </w:r>
      <w:r w:rsidR="00E738EF" w:rsidRPr="6F8CEE91">
        <w:rPr>
          <w:color w:val="000000" w:themeColor="text1"/>
        </w:rPr>
        <w:t>excéder 10 ans</w:t>
      </w:r>
      <w:r w:rsidR="003C09FA" w:rsidRPr="6F8CEE91">
        <w:rPr>
          <w:rFonts w:eastAsiaTheme="minorEastAsia" w:cs="Roboto"/>
          <w:color w:val="000000" w:themeColor="text1"/>
        </w:rPr>
        <w:t>.</w:t>
      </w:r>
      <w:r w:rsidR="680E2C2C" w:rsidRPr="095971B8">
        <w:rPr>
          <w:rFonts w:eastAsiaTheme="minorEastAsia" w:cs="Roboto"/>
          <w:color w:val="000000" w:themeColor="text1"/>
        </w:rPr>
        <w:t xml:space="preserve"> Le taux de charge financière est désormais figé à la date de contractualisation de la dette. </w:t>
      </w:r>
    </w:p>
    <w:p w14:paraId="7BB19362" w14:textId="77777777" w:rsidR="00A14499" w:rsidRDefault="00A14499" w:rsidP="00A14499">
      <w:pPr>
        <w:pStyle w:val="Titre6"/>
      </w:pPr>
      <w:r>
        <w:t>Analyse</w:t>
      </w:r>
    </w:p>
    <w:p w14:paraId="1DF7FDC6" w14:textId="39309BC3" w:rsidR="00637AE0" w:rsidRPr="00EC6879" w:rsidRDefault="00DA26A1" w:rsidP="00637AE0">
      <w:pPr>
        <w:pStyle w:val="Paragraphedeliste"/>
      </w:pPr>
      <w:r>
        <w:t xml:space="preserve">En première approche, </w:t>
      </w:r>
      <w:r w:rsidR="0629B527">
        <w:t xml:space="preserve">cette évolution </w:t>
      </w:r>
      <w:r w:rsidR="005B6583">
        <w:t xml:space="preserve">apparaît </w:t>
      </w:r>
      <w:r w:rsidR="7023365E">
        <w:t>acceptable</w:t>
      </w:r>
      <w:r w:rsidR="005B6583">
        <w:t xml:space="preserve"> car elle</w:t>
      </w:r>
      <w:r w:rsidR="0629B527">
        <w:t xml:space="preserve"> </w:t>
      </w:r>
      <w:r w:rsidR="005B6583">
        <w:t xml:space="preserve">est </w:t>
      </w:r>
      <w:r w:rsidR="00946BF6">
        <w:t>plus représentative</w:t>
      </w:r>
      <w:r w:rsidR="000820CB">
        <w:t xml:space="preserve"> </w:t>
      </w:r>
      <w:r w:rsidR="00946BF6">
        <w:t>des</w:t>
      </w:r>
      <w:r w:rsidR="000820CB">
        <w:t xml:space="preserve"> pratiques de financement </w:t>
      </w:r>
      <w:r w:rsidR="00946BF6">
        <w:t>effectives</w:t>
      </w:r>
      <w:r w:rsidR="2F561EE8">
        <w:t xml:space="preserve"> d’une entité indépendant</w:t>
      </w:r>
      <w:r w:rsidR="048D13B3">
        <w:t>e en supprimant la référence à la maturité résiduelle de la dette de SNCF Voyageurs.</w:t>
      </w:r>
    </w:p>
    <w:p w14:paraId="255ACA21" w14:textId="2B245036" w:rsidR="00586663" w:rsidRPr="00EC6879" w:rsidRDefault="00586663" w:rsidP="00C94BFB">
      <w:pPr>
        <w:pStyle w:val="Encadr"/>
        <w:keepNext/>
        <w:rPr>
          <w:rFonts w:ascii="Roboto" w:hAnsi="Roboto"/>
          <w:b w:val="0"/>
        </w:rPr>
      </w:pPr>
      <w:r w:rsidRPr="00EC6879">
        <w:rPr>
          <w:rFonts w:ascii="Roboto" w:hAnsi="Roboto"/>
        </w:rPr>
        <w:t xml:space="preserve">Question </w:t>
      </w:r>
      <w:r w:rsidR="00AF2A3D">
        <w:rPr>
          <w:rFonts w:ascii="Roboto" w:hAnsi="Roboto"/>
        </w:rPr>
        <w:t>6</w:t>
      </w:r>
    </w:p>
    <w:p w14:paraId="27091CD2" w14:textId="77777777" w:rsidR="00586663" w:rsidRPr="00EC6879" w:rsidRDefault="00586663" w:rsidP="00CF3D5D">
      <w:pPr>
        <w:pStyle w:val="Encadr"/>
        <w:keepNext/>
        <w:rPr>
          <w:rFonts w:ascii="Roboto" w:hAnsi="Roboto"/>
        </w:rPr>
      </w:pPr>
    </w:p>
    <w:p w14:paraId="23A36D0C" w14:textId="54DB30E9" w:rsidR="00586663" w:rsidRDefault="00AA2667" w:rsidP="00CF3D5D">
      <w:pPr>
        <w:pStyle w:val="Encadr"/>
        <w:keepNext/>
        <w:rPr>
          <w:rFonts w:ascii="Roboto" w:hAnsi="Roboto"/>
        </w:rPr>
      </w:pPr>
      <w:r w:rsidRPr="2F955090">
        <w:rPr>
          <w:rFonts w:ascii="Roboto" w:hAnsi="Roboto"/>
        </w:rPr>
        <w:t xml:space="preserve">Avez-vous des commentaires quant </w:t>
      </w:r>
      <w:r w:rsidR="3DBA9B6C" w:rsidRPr="2F955090">
        <w:rPr>
          <w:rFonts w:ascii="Roboto" w:hAnsi="Roboto"/>
        </w:rPr>
        <w:t>aux modalités de détermination du</w:t>
      </w:r>
      <w:r w:rsidR="32D6128E" w:rsidRPr="2F955090">
        <w:rPr>
          <w:rFonts w:ascii="Roboto" w:hAnsi="Roboto"/>
        </w:rPr>
        <w:t xml:space="preserve"> taux de financement de </w:t>
      </w:r>
      <w:r w:rsidR="20AA94C0" w:rsidRPr="2F955090">
        <w:rPr>
          <w:rFonts w:ascii="Roboto" w:hAnsi="Roboto"/>
        </w:rPr>
        <w:t>moyen-</w:t>
      </w:r>
      <w:r w:rsidR="32D6128E" w:rsidRPr="2F955090">
        <w:rPr>
          <w:rFonts w:ascii="Roboto" w:hAnsi="Roboto"/>
        </w:rPr>
        <w:t>long terme ?</w:t>
      </w:r>
    </w:p>
    <w:p w14:paraId="243319A6" w14:textId="51306620" w:rsidR="00001476" w:rsidRDefault="00001476" w:rsidP="000A372B">
      <w:pPr>
        <w:pStyle w:val="Titre3"/>
      </w:pPr>
      <w:bookmarkStart w:id="52" w:name="_Toc156312811"/>
      <w:bookmarkStart w:id="53" w:name="_Toc157421591"/>
      <w:bookmarkStart w:id="54" w:name="_Toc1308629528"/>
      <w:r>
        <w:t xml:space="preserve">SNCF Voyageurs </w:t>
      </w:r>
      <w:r w:rsidR="4AF81713">
        <w:t>propose d’inscrire dans les nouvelle</w:t>
      </w:r>
      <w:r w:rsidR="01F918CD">
        <w:t>s</w:t>
      </w:r>
      <w:r w:rsidR="4AF81713">
        <w:t xml:space="preserve"> règles l</w:t>
      </w:r>
      <w:r>
        <w:t>a mis</w:t>
      </w:r>
      <w:r w:rsidR="29CDDDFF">
        <w:t>e</w:t>
      </w:r>
      <w:r>
        <w:t xml:space="preserve"> en place </w:t>
      </w:r>
      <w:r w:rsidR="2B3BBBB5">
        <w:t>d’</w:t>
      </w:r>
      <w:r>
        <w:t xml:space="preserve">un compte courant financier entre les activités conventionnées et l’activité </w:t>
      </w:r>
      <w:r w:rsidR="00DA26A1">
        <w:t>« </w:t>
      </w:r>
      <w:r w:rsidR="00512E9C" w:rsidRPr="0C461036">
        <w:rPr>
          <w:i/>
          <w:iCs/>
        </w:rPr>
        <w:t>C</w:t>
      </w:r>
      <w:r w:rsidRPr="0C461036">
        <w:rPr>
          <w:i/>
          <w:iCs/>
        </w:rPr>
        <w:t>orporate</w:t>
      </w:r>
      <w:bookmarkEnd w:id="52"/>
      <w:r w:rsidR="00DA26A1">
        <w:t> »</w:t>
      </w:r>
      <w:bookmarkEnd w:id="53"/>
      <w:bookmarkEnd w:id="54"/>
    </w:p>
    <w:p w14:paraId="2720FDE5" w14:textId="2672255B" w:rsidR="00001476" w:rsidRPr="000B5319" w:rsidRDefault="00001476" w:rsidP="000B5319">
      <w:pPr>
        <w:pStyle w:val="Paragraphenumrot"/>
      </w:pPr>
      <w:r>
        <w:t xml:space="preserve">Certaines activités conventionnées présentent un actif économique net et des capitaux employés </w:t>
      </w:r>
      <w:r w:rsidR="006E7399">
        <w:t xml:space="preserve">(i.e. capitaux propres et dette financière nette) </w:t>
      </w:r>
      <w:r>
        <w:t>négatifs</w:t>
      </w:r>
      <w:r w:rsidR="00083971">
        <w:t xml:space="preserve">. Cela est dû </w:t>
      </w:r>
      <w:r w:rsidR="00E94E55">
        <w:t>à l’existence</w:t>
      </w:r>
      <w:r>
        <w:t xml:space="preserve"> d’un </w:t>
      </w:r>
      <w:r w:rsidR="00512E9C">
        <w:t>e</w:t>
      </w:r>
      <w:r>
        <w:t xml:space="preserve">xcédent de </w:t>
      </w:r>
      <w:r w:rsidR="00512E9C">
        <w:t>f</w:t>
      </w:r>
      <w:r>
        <w:t xml:space="preserve">onds de </w:t>
      </w:r>
      <w:r w:rsidR="00512E9C">
        <w:t>r</w:t>
      </w:r>
      <w:r>
        <w:t>oulement</w:t>
      </w:r>
      <w:r w:rsidR="00286F8D">
        <w:t xml:space="preserve"> engendré par un décalage existant entre </w:t>
      </w:r>
      <w:r>
        <w:t xml:space="preserve">l’encaissement des avances relatives à la contribution d’exploitation versées par les </w:t>
      </w:r>
      <w:r w:rsidR="00F90051">
        <w:t>AOT,</w:t>
      </w:r>
      <w:r>
        <w:t xml:space="preserve"> </w:t>
      </w:r>
      <w:r w:rsidR="00512E9C">
        <w:t xml:space="preserve">d’une part, </w:t>
      </w:r>
      <w:r>
        <w:t xml:space="preserve">et le paiement des dettes </w:t>
      </w:r>
      <w:r w:rsidR="00286F8D">
        <w:t>d’exploitation</w:t>
      </w:r>
      <w:r w:rsidR="00F90051">
        <w:t>,</w:t>
      </w:r>
      <w:r w:rsidR="00512E9C">
        <w:t xml:space="preserve"> d’autre part</w:t>
      </w:r>
      <w:r w:rsidR="00286F8D">
        <w:t xml:space="preserve">. </w:t>
      </w:r>
      <w:r w:rsidR="00FA65AF">
        <w:t xml:space="preserve">Ce décalage </w:t>
      </w:r>
      <w:r w:rsidR="00E94E55">
        <w:t xml:space="preserve">se traduit par un passif d’exploitation </w:t>
      </w:r>
      <w:r w:rsidR="00FA65AF">
        <w:t>important, supérieur au montant des actifs, et par conséquent par des capitaux employés négatifs, afin de maintenir le bilan à l’équilibre. L</w:t>
      </w:r>
      <w:r>
        <w:t>e décalage temporaire</w:t>
      </w:r>
      <w:r w:rsidR="00512E9C">
        <w:t xml:space="preserve"> </w:t>
      </w:r>
      <w:r>
        <w:t>se résorbe en cas d’arrêt de la convention.</w:t>
      </w:r>
    </w:p>
    <w:p w14:paraId="7013D9A5" w14:textId="77777777" w:rsidR="002675EA" w:rsidRDefault="002675EA" w:rsidP="002675EA">
      <w:pPr>
        <w:pStyle w:val="Titre6"/>
      </w:pPr>
      <w:r>
        <w:t>Règle proposée</w:t>
      </w:r>
    </w:p>
    <w:p w14:paraId="4ED2B027" w14:textId="040FCD88" w:rsidR="00001476" w:rsidRPr="000B5319" w:rsidRDefault="00001476" w:rsidP="000B5319">
      <w:pPr>
        <w:pStyle w:val="Paragraphenumrot"/>
      </w:pPr>
      <w:r>
        <w:t xml:space="preserve">SNCF Voyageurs a mis en place un compte courant entre l’activité </w:t>
      </w:r>
      <w:r w:rsidR="00F90051">
        <w:t>« </w:t>
      </w:r>
      <w:r w:rsidRPr="6F8CEE91">
        <w:rPr>
          <w:i/>
          <w:iCs/>
        </w:rPr>
        <w:t>Corporate</w:t>
      </w:r>
      <w:r w:rsidR="00F90051">
        <w:t> »</w:t>
      </w:r>
      <w:r>
        <w:t xml:space="preserve"> et les activités conventionnées concernées.</w:t>
      </w:r>
      <w:r w:rsidR="006D6AAC">
        <w:t xml:space="preserve"> </w:t>
      </w:r>
      <w:r>
        <w:t>Ce compte courant financier</w:t>
      </w:r>
      <w:r w:rsidR="00C9754A">
        <w:t>, qui ne porte pas intérêt</w:t>
      </w:r>
      <w:r w:rsidR="00AA5ABF">
        <w:t>s</w:t>
      </w:r>
      <w:r w:rsidR="00C9754A">
        <w:t xml:space="preserve">, </w:t>
      </w:r>
      <w:r>
        <w:t>représente les fonds nécessaires pour couvrir les dépenses et liquider l’activité conventionnée au moment de l’arrêt de la convention</w:t>
      </w:r>
      <w:r w:rsidR="00F90051">
        <w:t>,</w:t>
      </w:r>
      <w:r>
        <w:t xml:space="preserve"> tout en garantissant la continuité de l’exploitation après l’arrêt des paiements par </w:t>
      </w:r>
      <w:r w:rsidR="00F90051">
        <w:t>l’AOT</w:t>
      </w:r>
      <w:r>
        <w:t xml:space="preserve">. </w:t>
      </w:r>
      <w:r w:rsidR="00C9754A">
        <w:t>Il fonctionne</w:t>
      </w:r>
      <w:r w:rsidR="39D4B930">
        <w:t xml:space="preserve"> </w:t>
      </w:r>
      <w:r w:rsidR="00C9754A">
        <w:t xml:space="preserve">comme une garantie financière permettant de </w:t>
      </w:r>
      <w:r>
        <w:t xml:space="preserve">couvrir </w:t>
      </w:r>
      <w:r w:rsidR="00C9754A">
        <w:t>l’excédent de fonds de roulement, et a vocation à être soldé au moment de la liquidation de la convention</w:t>
      </w:r>
      <w:r>
        <w:t>.</w:t>
      </w:r>
    </w:p>
    <w:p w14:paraId="46D5732E" w14:textId="77777777" w:rsidR="002675EA" w:rsidRDefault="002675EA" w:rsidP="002675EA">
      <w:pPr>
        <w:pStyle w:val="Titre6"/>
      </w:pPr>
      <w:r>
        <w:t>Analyse</w:t>
      </w:r>
    </w:p>
    <w:p w14:paraId="7D01E26D" w14:textId="2761EC52" w:rsidR="000A73C4" w:rsidRPr="000B5319" w:rsidRDefault="000A73C4" w:rsidP="000B5319">
      <w:pPr>
        <w:pStyle w:val="Paragraphenumrot"/>
      </w:pPr>
      <w:r>
        <w:t xml:space="preserve">La </w:t>
      </w:r>
      <w:r w:rsidR="3A8033AD">
        <w:t>mise en place</w:t>
      </w:r>
      <w:r>
        <w:t xml:space="preserve"> de ce compte courant</w:t>
      </w:r>
      <w:r w:rsidR="7F2F5AC7">
        <w:t>, non rémunéré,</w:t>
      </w:r>
      <w:r>
        <w:t xml:space="preserve"> classé en actif financier</w:t>
      </w:r>
      <w:r w:rsidR="00F90051">
        <w:t>,</w:t>
      </w:r>
      <w:r>
        <w:t xml:space="preserve"> a été faite en 2020 entre les activités conventionnées </w:t>
      </w:r>
      <w:r w:rsidR="00BC65E6">
        <w:t>de</w:t>
      </w:r>
      <w:r>
        <w:t xml:space="preserve"> </w:t>
      </w:r>
      <w:r w:rsidR="00BC65E6">
        <w:t>t</w:t>
      </w:r>
      <w:r w:rsidR="039028CB">
        <w:t xml:space="preserve">ransport régional et </w:t>
      </w:r>
      <w:r w:rsidR="00BC65E6">
        <w:t>des</w:t>
      </w:r>
      <w:r w:rsidR="039028CB">
        <w:t xml:space="preserve"> </w:t>
      </w:r>
      <w:r w:rsidR="00BC65E6">
        <w:t>t</w:t>
      </w:r>
      <w:r w:rsidR="039028CB">
        <w:t xml:space="preserve">rains d’équilibre </w:t>
      </w:r>
      <w:r w:rsidR="593D28AC">
        <w:t xml:space="preserve">du territoire </w:t>
      </w:r>
      <w:r>
        <w:t xml:space="preserve">et l’activité </w:t>
      </w:r>
      <w:r w:rsidR="00F90051">
        <w:t>« </w:t>
      </w:r>
      <w:r w:rsidR="338E9553" w:rsidRPr="6F8CEE91">
        <w:rPr>
          <w:i/>
          <w:iCs/>
        </w:rPr>
        <w:t>C</w:t>
      </w:r>
      <w:r w:rsidRPr="6F8CEE91">
        <w:rPr>
          <w:i/>
          <w:iCs/>
        </w:rPr>
        <w:t>orporate</w:t>
      </w:r>
      <w:r w:rsidR="00F90051">
        <w:t> »</w:t>
      </w:r>
      <w:r w:rsidR="00BC65E6">
        <w:t>. Elle</w:t>
      </w:r>
      <w:r w:rsidR="78A91F96">
        <w:t xml:space="preserve"> a </w:t>
      </w:r>
      <w:r>
        <w:t>fait l’objet d’une observation de la part du commissaire aux comptes au sein des comptes séparés de 2021 et de 2022.</w:t>
      </w:r>
    </w:p>
    <w:p w14:paraId="40F529D3" w14:textId="3ACB84A2" w:rsidR="388FBB69" w:rsidRPr="00631EC4" w:rsidRDefault="00B66066" w:rsidP="39244F49">
      <w:pPr>
        <w:pStyle w:val="Paragraphenumrot"/>
        <w:rPr>
          <w:rFonts w:eastAsiaTheme="minorEastAsia"/>
        </w:rPr>
      </w:pPr>
      <w:r>
        <w:t>La mise en place d’un</w:t>
      </w:r>
      <w:r w:rsidR="419FDE12">
        <w:t xml:space="preserve"> tel compte courant </w:t>
      </w:r>
      <w:r w:rsidR="003E2A8B">
        <w:t xml:space="preserve">ne </w:t>
      </w:r>
      <w:r w:rsidR="5E8501FA">
        <w:t>semble pas différer</w:t>
      </w:r>
      <w:r w:rsidR="00F90051">
        <w:t>,</w:t>
      </w:r>
      <w:r w:rsidR="003E2A8B">
        <w:t xml:space="preserve"> sur le fond</w:t>
      </w:r>
      <w:r w:rsidR="00F90051">
        <w:t>,</w:t>
      </w:r>
      <w:r w:rsidR="003E2A8B">
        <w:t xml:space="preserve"> de la situation où les montants sont maintenus en trésor</w:t>
      </w:r>
      <w:r w:rsidR="00386509">
        <w:t>er</w:t>
      </w:r>
      <w:r w:rsidR="003E2A8B">
        <w:t>ie dans les comptes des activités conventionnées</w:t>
      </w:r>
      <w:r w:rsidR="00F90051">
        <w:t>,</w:t>
      </w:r>
      <w:r w:rsidR="00C4179A">
        <w:t xml:space="preserve"> mais permet de rééquilibrer la structure financière en</w:t>
      </w:r>
      <w:r w:rsidR="00386509">
        <w:t xml:space="preserve"> transférant</w:t>
      </w:r>
      <w:r w:rsidR="00C4179A">
        <w:t xml:space="preserve"> cette trésorerie en actif financier</w:t>
      </w:r>
      <w:r w:rsidR="00386509">
        <w:t xml:space="preserve"> </w:t>
      </w:r>
      <w:r w:rsidR="00CF3D5D">
        <w:t>couran</w:t>
      </w:r>
      <w:r w:rsidR="4A206F39">
        <w:t>t</w:t>
      </w:r>
      <w:r w:rsidR="002675EA">
        <w:t>, favorisant ainsi la lisibilité des comptes</w:t>
      </w:r>
      <w:r w:rsidR="00CF3D5D">
        <w:t>.</w:t>
      </w:r>
      <w:r w:rsidR="419FDE12">
        <w:t xml:space="preserve"> </w:t>
      </w:r>
    </w:p>
    <w:p w14:paraId="5FD7197F" w14:textId="7AE46E45" w:rsidR="388FBB69" w:rsidRPr="00631EC4" w:rsidRDefault="419FDE12" w:rsidP="000B5319">
      <w:pPr>
        <w:pStyle w:val="Paragraphenumrot"/>
        <w:rPr>
          <w:rFonts w:eastAsiaTheme="minorEastAsia"/>
        </w:rPr>
      </w:pPr>
      <w:r>
        <w:t>Toutefois</w:t>
      </w:r>
      <w:r w:rsidR="00B66066">
        <w:t xml:space="preserve">, </w:t>
      </w:r>
      <w:r w:rsidR="00CA06FB">
        <w:t xml:space="preserve">les comptes séparés doivent refléter </w:t>
      </w:r>
      <w:r w:rsidR="00CA06FB" w:rsidRPr="4D198A45">
        <w:rPr>
          <w:rStyle w:val="ui-provider"/>
        </w:rPr>
        <w:t>une</w:t>
      </w:r>
      <w:r w:rsidR="00862FA3" w:rsidRPr="6F8CEE91">
        <w:rPr>
          <w:rStyle w:val="ui-provider"/>
        </w:rPr>
        <w:t xml:space="preserve"> situation </w:t>
      </w:r>
      <w:r w:rsidR="53D73207" w:rsidRPr="6F8CEE91">
        <w:rPr>
          <w:rStyle w:val="ui-provider"/>
        </w:rPr>
        <w:t>où</w:t>
      </w:r>
      <w:r w:rsidR="00862FA3" w:rsidRPr="6F8CEE91">
        <w:rPr>
          <w:rStyle w:val="ui-provider"/>
        </w:rPr>
        <w:t xml:space="preserve"> les activités conventionné</w:t>
      </w:r>
      <w:r w:rsidR="26B93F51" w:rsidRPr="6F8CEE91">
        <w:rPr>
          <w:rStyle w:val="ui-provider"/>
        </w:rPr>
        <w:t>e</w:t>
      </w:r>
      <w:r w:rsidR="00862FA3" w:rsidRPr="6F8CEE91">
        <w:rPr>
          <w:rStyle w:val="ui-provider"/>
        </w:rPr>
        <w:t xml:space="preserve">s et l’activité </w:t>
      </w:r>
      <w:r w:rsidR="00F4493B" w:rsidRPr="6F8CEE91">
        <w:rPr>
          <w:rStyle w:val="ui-provider"/>
        </w:rPr>
        <w:t>« </w:t>
      </w:r>
      <w:r w:rsidR="2D3C58FA" w:rsidRPr="6F8CEE91">
        <w:rPr>
          <w:rStyle w:val="ui-provider"/>
          <w:i/>
          <w:iCs/>
        </w:rPr>
        <w:t>C</w:t>
      </w:r>
      <w:r w:rsidR="00862FA3" w:rsidRPr="6F8CEE91">
        <w:rPr>
          <w:rStyle w:val="ui-provider"/>
          <w:i/>
          <w:iCs/>
        </w:rPr>
        <w:t>orporate</w:t>
      </w:r>
      <w:r w:rsidR="00F4493B" w:rsidRPr="6F8CEE91">
        <w:rPr>
          <w:rStyle w:val="ui-provider"/>
        </w:rPr>
        <w:t> »</w:t>
      </w:r>
      <w:r w:rsidR="00862FA3" w:rsidRPr="6F8CEE91">
        <w:rPr>
          <w:rStyle w:val="ui-provider"/>
        </w:rPr>
        <w:t xml:space="preserve"> </w:t>
      </w:r>
      <w:r w:rsidR="7BF3FAD8" w:rsidRPr="6F8CEE91">
        <w:rPr>
          <w:rStyle w:val="ui-provider"/>
        </w:rPr>
        <w:t>ser</w:t>
      </w:r>
      <w:r w:rsidR="274842E7" w:rsidRPr="6F8CEE91">
        <w:rPr>
          <w:rStyle w:val="ui-provider"/>
        </w:rPr>
        <w:t>aient</w:t>
      </w:r>
      <w:r w:rsidR="00862FA3" w:rsidRPr="6F8CEE91">
        <w:rPr>
          <w:rStyle w:val="ui-provider"/>
        </w:rPr>
        <w:t xml:space="preserve"> </w:t>
      </w:r>
      <w:r w:rsidR="00A93580" w:rsidRPr="6F8CEE91">
        <w:rPr>
          <w:rStyle w:val="ui-provider"/>
        </w:rPr>
        <w:t>exploitées par</w:t>
      </w:r>
      <w:r w:rsidR="00862FA3" w:rsidRPr="6F8CEE91">
        <w:rPr>
          <w:rStyle w:val="ui-provider"/>
        </w:rPr>
        <w:t xml:space="preserve"> des entités indépendantes</w:t>
      </w:r>
      <w:r w:rsidR="00CA06FB" w:rsidRPr="4D198A45">
        <w:rPr>
          <w:rStyle w:val="ui-provider"/>
        </w:rPr>
        <w:t xml:space="preserve">. Dans un tel cas, </w:t>
      </w:r>
      <w:r w:rsidR="00694828" w:rsidRPr="4D198A45">
        <w:rPr>
          <w:rStyle w:val="ui-provider"/>
        </w:rPr>
        <w:t>il semble peu vraisemblable que les activités conventionnées mettent à disposition cet actif financier sans contrepartie</w:t>
      </w:r>
      <w:r w:rsidR="1C927A41" w:rsidRPr="6F8CEE91">
        <w:rPr>
          <w:rFonts w:eastAsiaTheme="minorEastAsia"/>
        </w:rPr>
        <w:t xml:space="preserve">. </w:t>
      </w:r>
      <w:r w:rsidR="00F4493B" w:rsidRPr="6F8CEE91">
        <w:rPr>
          <w:rFonts w:eastAsiaTheme="minorEastAsia"/>
        </w:rPr>
        <w:t>En première approche, l</w:t>
      </w:r>
      <w:r w:rsidR="00862FA3" w:rsidRPr="6F8CEE91">
        <w:rPr>
          <w:rFonts w:eastAsiaTheme="minorEastAsia"/>
        </w:rPr>
        <w:t xml:space="preserve">’Autorité estime donc que le compte courant devrait être rémunéré à </w:t>
      </w:r>
      <w:r w:rsidR="00284855" w:rsidRPr="6F8CEE91">
        <w:rPr>
          <w:rFonts w:eastAsiaTheme="minorEastAsia"/>
        </w:rPr>
        <w:t>un taux reflétant l</w:t>
      </w:r>
      <w:r w:rsidR="00862FA3" w:rsidRPr="6F8CEE91">
        <w:rPr>
          <w:rFonts w:eastAsiaTheme="minorEastAsia"/>
        </w:rPr>
        <w:t>es conditions de marché.</w:t>
      </w:r>
      <w:r w:rsidR="234E9A3E" w:rsidRPr="6F8CEE91">
        <w:rPr>
          <w:rFonts w:eastAsiaTheme="minorEastAsia"/>
        </w:rPr>
        <w:t xml:space="preserve"> </w:t>
      </w:r>
    </w:p>
    <w:p w14:paraId="12B5F6DD" w14:textId="2EA3ADDF" w:rsidR="0002313A" w:rsidRPr="00CF3D5D" w:rsidRDefault="0002313A" w:rsidP="00CF3D5D">
      <w:pPr>
        <w:pStyle w:val="Encadr"/>
        <w:keepNext/>
        <w:rPr>
          <w:rFonts w:ascii="Roboto" w:hAnsi="Roboto"/>
        </w:rPr>
      </w:pPr>
      <w:r w:rsidRPr="00CF3D5D">
        <w:rPr>
          <w:rFonts w:ascii="Roboto" w:hAnsi="Roboto"/>
        </w:rPr>
        <w:t xml:space="preserve">Question </w:t>
      </w:r>
      <w:r w:rsidR="00AF2A3D">
        <w:rPr>
          <w:rFonts w:ascii="Roboto" w:hAnsi="Roboto"/>
        </w:rPr>
        <w:t>7</w:t>
      </w:r>
    </w:p>
    <w:p w14:paraId="4C2EE5C1" w14:textId="77777777" w:rsidR="00003E06" w:rsidRPr="00AB226A" w:rsidRDefault="00003E06" w:rsidP="00CF3D5D">
      <w:pPr>
        <w:pStyle w:val="Encadr"/>
        <w:keepNext/>
      </w:pPr>
    </w:p>
    <w:p w14:paraId="57FDECC5" w14:textId="2867457A" w:rsidR="0002313A" w:rsidRDefault="0002313A" w:rsidP="00CF3D5D">
      <w:pPr>
        <w:pStyle w:val="Encadr"/>
        <w:keepNext/>
        <w:rPr>
          <w:rFonts w:ascii="Roboto" w:hAnsi="Roboto"/>
        </w:rPr>
      </w:pPr>
      <w:r w:rsidRPr="2945DEEA">
        <w:rPr>
          <w:rFonts w:ascii="Roboto" w:hAnsi="Roboto"/>
        </w:rPr>
        <w:t xml:space="preserve">Avez-vous des commentaires </w:t>
      </w:r>
      <w:r w:rsidR="00D40EF9">
        <w:rPr>
          <w:rFonts w:ascii="Roboto" w:hAnsi="Roboto"/>
        </w:rPr>
        <w:t xml:space="preserve">sur </w:t>
      </w:r>
      <w:r w:rsidR="16F0C2F8" w:rsidRPr="77EBDFFD">
        <w:rPr>
          <w:rFonts w:ascii="Roboto" w:hAnsi="Roboto"/>
        </w:rPr>
        <w:t xml:space="preserve">l’inscription dans les règles de séparation comptable d’un </w:t>
      </w:r>
      <w:r w:rsidR="6E51B473" w:rsidRPr="2945DEEA">
        <w:rPr>
          <w:rFonts w:ascii="Roboto" w:hAnsi="Roboto"/>
        </w:rPr>
        <w:t>compte courant entre les activités conventionnées et l’activit</w:t>
      </w:r>
      <w:r w:rsidR="7D581514" w:rsidRPr="2945DEEA">
        <w:rPr>
          <w:rFonts w:ascii="Roboto" w:hAnsi="Roboto"/>
        </w:rPr>
        <w:t>é Corporate</w:t>
      </w:r>
      <w:r w:rsidRPr="2945DEEA">
        <w:rPr>
          <w:rFonts w:ascii="Roboto" w:hAnsi="Roboto"/>
        </w:rPr>
        <w:t xml:space="preserve"> ?</w:t>
      </w:r>
      <w:r w:rsidR="00386509">
        <w:rPr>
          <w:rFonts w:ascii="Roboto" w:hAnsi="Roboto"/>
        </w:rPr>
        <w:t xml:space="preserve"> Partagez-vous la position de l’Autorité sur la question de la rémunération ? </w:t>
      </w:r>
    </w:p>
    <w:p w14:paraId="3C7F90D1" w14:textId="02896D21" w:rsidR="008B3E2C" w:rsidRPr="00B832C4" w:rsidRDefault="008B3E2C" w:rsidP="00631EC4">
      <w:pPr>
        <w:pStyle w:val="Paragraphenumrot"/>
        <w:numPr>
          <w:ilvl w:val="0"/>
          <w:numId w:val="0"/>
        </w:numPr>
      </w:pPr>
    </w:p>
    <w:sectPr w:rsidR="008B3E2C" w:rsidRPr="00B832C4" w:rsidSect="00901DFA">
      <w:headerReference w:type="even" r:id="rId12"/>
      <w:headerReference w:type="default" r:id="rId13"/>
      <w:footerReference w:type="default" r:id="rId14"/>
      <w:headerReference w:type="first" r:id="rId15"/>
      <w:footerReference w:type="first" r:id="rId16"/>
      <w:pgSz w:w="11906" w:h="16838"/>
      <w:pgMar w:top="1838" w:right="1077" w:bottom="1474" w:left="1559" w:header="709"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BB4E" w14:textId="77777777" w:rsidR="00FE2334" w:rsidRDefault="00FE2334" w:rsidP="00FC7E86">
      <w:pPr>
        <w:spacing w:before="0" w:after="0"/>
      </w:pPr>
      <w:r>
        <w:separator/>
      </w:r>
    </w:p>
  </w:endnote>
  <w:endnote w:type="continuationSeparator" w:id="0">
    <w:p w14:paraId="188D0EF7" w14:textId="77777777" w:rsidR="00FE2334" w:rsidRDefault="00FE2334" w:rsidP="00FC7E86">
      <w:pPr>
        <w:spacing w:before="0" w:after="0"/>
      </w:pPr>
      <w:r>
        <w:continuationSeparator/>
      </w:r>
    </w:p>
  </w:endnote>
  <w:endnote w:type="continuationNotice" w:id="1">
    <w:p w14:paraId="39E2B63C" w14:textId="77777777" w:rsidR="00FE2334" w:rsidRDefault="00FE23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Roboto Medium">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Bold Condensed">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DEAA" w14:textId="77777777" w:rsidR="00AB226A" w:rsidRPr="00024ED3" w:rsidRDefault="00AB226A" w:rsidP="00AB226A">
    <w:pPr>
      <w:pStyle w:val="Pieddepage"/>
      <w:spacing w:before="0" w:after="0"/>
      <w:ind w:left="142"/>
      <w:rPr>
        <w:rFonts w:eastAsia="Roboto Lt" w:hAnsi="Roboto Lt" w:cs="Roboto Lt"/>
        <w:b/>
        <w:color w:val="000000" w:themeColor="text1"/>
        <w:sz w:val="16"/>
        <w:szCs w:val="22"/>
        <w:lang w:bidi="fr-FR"/>
      </w:rPr>
    </w:pPr>
  </w:p>
  <w:p w14:paraId="17DAF7CD" w14:textId="77777777" w:rsidR="00E67B00" w:rsidRPr="005A1880" w:rsidRDefault="00AB226A" w:rsidP="00AB226A">
    <w:pPr>
      <w:pStyle w:val="Pieddepage"/>
      <w:spacing w:before="0" w:after="0"/>
      <w:ind w:left="142"/>
      <w:rPr>
        <w:rFonts w:eastAsia="Franklin Gothic Book"/>
        <w:sz w:val="16"/>
        <w:szCs w:val="16"/>
      </w:rPr>
    </w:pPr>
    <w:r w:rsidRPr="005A1880">
      <w:rPr>
        <w:rFonts w:eastAsia="Roboto Lt" w:cs="Roboto Lt"/>
        <w:b/>
        <w:color w:val="223C75"/>
        <w:sz w:val="16"/>
        <w:szCs w:val="22"/>
        <w:lang w:bidi="fr-FR"/>
      </w:rPr>
      <w:t xml:space="preserve">autorite-transports.fr                                                                                                                                                                              </w:t>
    </w:r>
    <w:r w:rsidRPr="005A1880">
      <w:rPr>
        <w:rFonts w:eastAsia="Roboto Lt" w:cs="Roboto Lt"/>
        <w:b/>
        <w:color w:val="223C75"/>
        <w:sz w:val="16"/>
        <w:szCs w:val="22"/>
        <w:lang w:bidi="fr-FR"/>
      </w:rPr>
      <w:tab/>
    </w:r>
    <w:r w:rsidRPr="005A1880">
      <w:rPr>
        <w:rFonts w:eastAsia="Franklin Gothic Book"/>
        <w:sz w:val="16"/>
        <w:szCs w:val="16"/>
      </w:rPr>
      <w:fldChar w:fldCharType="begin"/>
    </w:r>
    <w:r w:rsidRPr="00990CDA">
      <w:rPr>
        <w:rFonts w:eastAsia="Franklin Gothic Book"/>
        <w:sz w:val="16"/>
        <w:szCs w:val="16"/>
      </w:rPr>
      <w:instrText>PAGE  \* Arabic  \* MERGEFORMAT</w:instrText>
    </w:r>
    <w:r w:rsidRPr="005A1880">
      <w:rPr>
        <w:rFonts w:eastAsia="Franklin Gothic Book"/>
        <w:sz w:val="16"/>
        <w:szCs w:val="16"/>
      </w:rPr>
      <w:fldChar w:fldCharType="separate"/>
    </w:r>
    <w:r w:rsidRPr="00990CDA">
      <w:rPr>
        <w:rFonts w:eastAsia="Franklin Gothic Book"/>
        <w:sz w:val="16"/>
        <w:szCs w:val="16"/>
      </w:rPr>
      <w:t>1</w:t>
    </w:r>
    <w:r w:rsidRPr="005A1880">
      <w:rPr>
        <w:rFonts w:eastAsia="Franklin Gothic Book"/>
        <w:sz w:val="16"/>
        <w:szCs w:val="16"/>
      </w:rPr>
      <w:fldChar w:fldCharType="end"/>
    </w:r>
    <w:r w:rsidRPr="005A1880">
      <w:rPr>
        <w:rFonts w:eastAsia="Franklin Gothic Book"/>
        <w:sz w:val="16"/>
        <w:szCs w:val="16"/>
      </w:rPr>
      <w:t xml:space="preserve"> / </w:t>
    </w:r>
    <w:r w:rsidRPr="00990CDA">
      <w:rPr>
        <w:rFonts w:eastAsia="Franklin Gothic Book"/>
        <w:sz w:val="16"/>
        <w:szCs w:val="16"/>
      </w:rPr>
      <w:fldChar w:fldCharType="begin"/>
    </w:r>
    <w:r w:rsidRPr="005A1880">
      <w:rPr>
        <w:rFonts w:eastAsia="Franklin Gothic Book"/>
        <w:sz w:val="16"/>
        <w:szCs w:val="16"/>
      </w:rPr>
      <w:instrText>NUMPAGES  \* Arabic  \* MERGEFORMAT</w:instrText>
    </w:r>
    <w:r w:rsidRPr="00990CDA">
      <w:rPr>
        <w:rFonts w:eastAsia="Franklin Gothic Book"/>
        <w:sz w:val="16"/>
        <w:szCs w:val="16"/>
      </w:rPr>
      <w:fldChar w:fldCharType="separate"/>
    </w:r>
    <w:r w:rsidRPr="005A1880">
      <w:rPr>
        <w:rFonts w:eastAsia="Franklin Gothic Book"/>
        <w:sz w:val="16"/>
        <w:szCs w:val="16"/>
      </w:rPr>
      <w:t>7</w:t>
    </w:r>
    <w:r w:rsidRPr="00990CDA">
      <w:rPr>
        <w:rFonts w:eastAsia="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72C0" w14:textId="77777777" w:rsidR="003B4E7C" w:rsidRPr="00024ED3" w:rsidRDefault="00605BEB" w:rsidP="003B4E7C">
    <w:pPr>
      <w:pStyle w:val="Pieddepage"/>
      <w:spacing w:before="0" w:after="0"/>
      <w:ind w:left="142"/>
      <w:rPr>
        <w:rFonts w:eastAsia="Roboto Lt" w:cs="Roboto Lt"/>
        <w:color w:val="000000" w:themeColor="text1"/>
        <w:sz w:val="16"/>
        <w:szCs w:val="22"/>
        <w:lang w:bidi="fr-FR"/>
      </w:rPr>
    </w:pPr>
    <w:r w:rsidRPr="000C6645">
      <w:rPr>
        <w:rFonts w:eastAsia="Roboto Lt" w:cs="Roboto Lt"/>
        <w:color w:val="000000" w:themeColor="text1"/>
        <w:sz w:val="16"/>
        <w:szCs w:val="22"/>
        <w:lang w:bidi="fr-FR"/>
      </w:rPr>
      <w:t xml:space="preserve">11 Place des </w:t>
    </w:r>
    <w:r w:rsidR="00997DE0">
      <w:rPr>
        <w:rFonts w:eastAsia="Roboto Lt" w:cs="Roboto Lt"/>
        <w:color w:val="000000" w:themeColor="text1"/>
        <w:sz w:val="16"/>
        <w:szCs w:val="22"/>
        <w:lang w:bidi="fr-FR"/>
      </w:rPr>
      <w:t>Cinq</w:t>
    </w:r>
    <w:r w:rsidRPr="000C6645">
      <w:rPr>
        <w:rFonts w:eastAsia="Roboto Lt" w:cs="Roboto Lt"/>
        <w:color w:val="000000" w:themeColor="text1"/>
        <w:sz w:val="16"/>
        <w:szCs w:val="22"/>
        <w:lang w:bidi="fr-FR"/>
      </w:rPr>
      <w:t xml:space="preserve"> Martyrs du Lycée Buffon - CS 30054 - 75675 Paris Cedex 14</w:t>
    </w:r>
    <w:r w:rsidRPr="00024ED3">
      <w:rPr>
        <w:rFonts w:eastAsia="Roboto Lt" w:cs="Roboto Lt"/>
        <w:color w:val="000000" w:themeColor="text1"/>
        <w:sz w:val="16"/>
        <w:szCs w:val="22"/>
        <w:lang w:bidi="fr-FR"/>
      </w:rPr>
      <w:t xml:space="preserve"> – T</w:t>
    </w:r>
    <w:r>
      <w:rPr>
        <w:rFonts w:eastAsia="Roboto Lt" w:cs="Roboto Lt"/>
        <w:color w:val="000000" w:themeColor="text1"/>
        <w:sz w:val="16"/>
        <w:szCs w:val="22"/>
        <w:lang w:bidi="fr-FR"/>
      </w:rPr>
      <w:t>é</w:t>
    </w:r>
    <w:r w:rsidRPr="00024ED3">
      <w:rPr>
        <w:rFonts w:eastAsia="Roboto Lt" w:cs="Roboto Lt"/>
        <w:color w:val="000000" w:themeColor="text1"/>
        <w:sz w:val="16"/>
        <w:szCs w:val="22"/>
        <w:lang w:bidi="fr-FR"/>
      </w:rPr>
      <w:t>l. +33 (0)1 58 01 01 10</w:t>
    </w:r>
  </w:p>
  <w:p w14:paraId="77C91DF7" w14:textId="77777777" w:rsidR="003B4E7C" w:rsidRPr="00024ED3" w:rsidRDefault="003B4E7C" w:rsidP="003B4E7C">
    <w:pPr>
      <w:pStyle w:val="Pieddepage"/>
      <w:spacing w:before="0" w:after="0"/>
      <w:ind w:left="142"/>
      <w:rPr>
        <w:rFonts w:eastAsia="Roboto Lt" w:hAnsi="Roboto Lt" w:cs="Roboto Lt"/>
        <w:b/>
        <w:color w:val="000000" w:themeColor="text1"/>
        <w:sz w:val="16"/>
        <w:szCs w:val="22"/>
        <w:lang w:bidi="fr-FR"/>
      </w:rPr>
    </w:pPr>
  </w:p>
  <w:p w14:paraId="798F946C" w14:textId="77777777" w:rsidR="00E67B00" w:rsidRPr="003B4E7C" w:rsidRDefault="003B4E7C" w:rsidP="003B4E7C">
    <w:pPr>
      <w:pStyle w:val="Pieddepage"/>
      <w:spacing w:before="0" w:after="0"/>
      <w:ind w:left="142"/>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2</w:t>
    </w:r>
    <w:r w:rsidRPr="00E92107">
      <w:rPr>
        <w:rFonts w:ascii="Franklin Gothic Book" w:eastAsia="Franklin Gothic Book" w:hAnsi="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6944" w14:textId="77777777" w:rsidR="00FE2334" w:rsidRDefault="00FE2334" w:rsidP="00FC7E86">
      <w:pPr>
        <w:spacing w:before="0" w:after="0"/>
      </w:pPr>
      <w:r>
        <w:separator/>
      </w:r>
    </w:p>
  </w:footnote>
  <w:footnote w:type="continuationSeparator" w:id="0">
    <w:p w14:paraId="3CA03CCA" w14:textId="77777777" w:rsidR="00FE2334" w:rsidRDefault="00FE2334" w:rsidP="00FC7E86">
      <w:pPr>
        <w:spacing w:before="0" w:after="0"/>
      </w:pPr>
      <w:r>
        <w:continuationSeparator/>
      </w:r>
    </w:p>
  </w:footnote>
  <w:footnote w:type="continuationNotice" w:id="1">
    <w:p w14:paraId="0A6EFBA4" w14:textId="77777777" w:rsidR="00FE2334" w:rsidRDefault="00FE2334">
      <w:pPr>
        <w:spacing w:before="0" w:after="0"/>
      </w:pPr>
    </w:p>
  </w:footnote>
  <w:footnote w:id="2">
    <w:p w14:paraId="1BA882B7" w14:textId="059888AA" w:rsidR="0041219D" w:rsidRDefault="0041219D" w:rsidP="0041219D">
      <w:pPr>
        <w:pStyle w:val="Notedebasdepage"/>
      </w:pPr>
      <w:r>
        <w:rPr>
          <w:rStyle w:val="Appelnotedebasdep"/>
        </w:rPr>
        <w:footnoteRef/>
      </w:r>
      <w:r>
        <w:t xml:space="preserve"> Article </w:t>
      </w:r>
      <w:r w:rsidRPr="00315017">
        <w:t>L. 2122-4</w:t>
      </w:r>
      <w:r>
        <w:t xml:space="preserve"> du code des transports</w:t>
      </w:r>
    </w:p>
  </w:footnote>
  <w:footnote w:id="3">
    <w:p w14:paraId="69EDCA45" w14:textId="08C495F8" w:rsidR="0041219D" w:rsidRDefault="0041219D" w:rsidP="0041219D">
      <w:pPr>
        <w:pStyle w:val="Notedebasdepage"/>
      </w:pPr>
      <w:r>
        <w:rPr>
          <w:rStyle w:val="Appelnotedebasdep"/>
        </w:rPr>
        <w:footnoteRef/>
      </w:r>
      <w:r>
        <w:t xml:space="preserve"> Article </w:t>
      </w:r>
      <w:r w:rsidRPr="00315017">
        <w:t>L. 2123-1-1</w:t>
      </w:r>
      <w:r>
        <w:t xml:space="preserve"> du code des transports</w:t>
      </w:r>
    </w:p>
  </w:footnote>
  <w:footnote w:id="4">
    <w:p w14:paraId="2F1DDB46" w14:textId="31939185" w:rsidR="0041219D" w:rsidRDefault="0041219D" w:rsidP="0041219D">
      <w:pPr>
        <w:pStyle w:val="Notedebasdepage"/>
      </w:pPr>
      <w:r>
        <w:rPr>
          <w:rStyle w:val="Appelnotedebasdep"/>
        </w:rPr>
        <w:footnoteRef/>
      </w:r>
      <w:r>
        <w:t xml:space="preserve"> Article </w:t>
      </w:r>
      <w:r w:rsidRPr="00315017">
        <w:t>L. 2144-1</w:t>
      </w:r>
      <w:r>
        <w:t xml:space="preserve"> du code des transports</w:t>
      </w:r>
    </w:p>
  </w:footnote>
  <w:footnote w:id="5">
    <w:p w14:paraId="6DBAEFE6" w14:textId="0883E7AE" w:rsidR="0041219D" w:rsidRDefault="0041219D" w:rsidP="0041219D">
      <w:pPr>
        <w:pStyle w:val="Notedebasdepage"/>
      </w:pPr>
      <w:r>
        <w:rPr>
          <w:rStyle w:val="Appelnotedebasdep"/>
        </w:rPr>
        <w:footnoteRef/>
      </w:r>
      <w:r>
        <w:t xml:space="preserve"> Article L. 2144-2 du code des transports et article 5 du décret n°2019-1589</w:t>
      </w:r>
    </w:p>
  </w:footnote>
  <w:footnote w:id="6">
    <w:p w14:paraId="499D6387" w14:textId="7181DEE4" w:rsidR="00211CB6" w:rsidRDefault="00211CB6">
      <w:pPr>
        <w:pStyle w:val="Notedebasdepage"/>
      </w:pPr>
      <w:r>
        <w:rPr>
          <w:rStyle w:val="Appelnotedebasdep"/>
        </w:rPr>
        <w:footnoteRef/>
      </w:r>
      <w:r>
        <w:t xml:space="preserve"> Article </w:t>
      </w:r>
      <w:r w:rsidRPr="00315017">
        <w:t>L. 21</w:t>
      </w:r>
      <w:r>
        <w:t>33</w:t>
      </w:r>
      <w:r w:rsidRPr="00315017">
        <w:t>-4</w:t>
      </w:r>
      <w:r>
        <w:t xml:space="preserve"> du code des transports</w:t>
      </w:r>
    </w:p>
  </w:footnote>
  <w:footnote w:id="7">
    <w:p w14:paraId="421DA442" w14:textId="3235640B" w:rsidR="002A6422" w:rsidRDefault="002A6422">
      <w:pPr>
        <w:pStyle w:val="Notedebasdepage"/>
      </w:pPr>
      <w:r>
        <w:rPr>
          <w:rStyle w:val="Appelnotedebasdep"/>
        </w:rPr>
        <w:footnoteRef/>
      </w:r>
      <w:r>
        <w:t xml:space="preserve"> Sur les quatorze recommandations formulées par l’ADLC, seules cinq concernent SNCF Voyageurs. Les neuf recommandations restantes s’adressent uniquement à Fret SNCF.</w:t>
      </w:r>
    </w:p>
  </w:footnote>
  <w:footnote w:id="8">
    <w:p w14:paraId="07E95D82" w14:textId="77777777" w:rsidR="00083971" w:rsidRDefault="00083971" w:rsidP="00083971">
      <w:pPr>
        <w:pStyle w:val="Notedebasdepage"/>
      </w:pPr>
      <w:r>
        <w:rPr>
          <w:rStyle w:val="Appelnotedebasdep"/>
        </w:rPr>
        <w:footnoteRef/>
      </w:r>
      <w:r>
        <w:t xml:space="preserve"> Les protocoles désignent les conventions régissant les relations financières entre les différentes entités de SNCF Voyageurs faisant l’objet de comptes séparés.</w:t>
      </w:r>
    </w:p>
  </w:footnote>
  <w:footnote w:id="9">
    <w:p w14:paraId="62E9DA2D" w14:textId="1D94E3BD" w:rsidR="00CB1EAA" w:rsidRDefault="00CB1EAA">
      <w:pPr>
        <w:pStyle w:val="Notedebasdepage"/>
      </w:pPr>
      <w:r>
        <w:rPr>
          <w:rStyle w:val="Appelnotedebasdep"/>
        </w:rPr>
        <w:footnoteRef/>
      </w:r>
      <w:r>
        <w:t xml:space="preserve"> Les prestations d’escale sont les prestations non</w:t>
      </w:r>
      <w:r w:rsidR="00F01A77">
        <w:t xml:space="preserve"> </w:t>
      </w:r>
      <w:r>
        <w:t>régulée</w:t>
      </w:r>
      <w:r w:rsidR="00F01A77">
        <w:t>s</w:t>
      </w:r>
      <w:r>
        <w:t xml:space="preserve"> réalisées en gare par les transporteurs. Elles </w:t>
      </w:r>
      <w:r w:rsidRPr="00CD69C1">
        <w:t>compren</w:t>
      </w:r>
      <w:r>
        <w:t>ne</w:t>
      </w:r>
      <w:r w:rsidRPr="00CD69C1">
        <w:t xml:space="preserve">nt </w:t>
      </w:r>
      <w:r>
        <w:t>d</w:t>
      </w:r>
      <w:r w:rsidRPr="00CD69C1">
        <w:t>e</w:t>
      </w:r>
      <w:r>
        <w:t>s</w:t>
      </w:r>
      <w:r w:rsidRPr="00CD69C1">
        <w:t xml:space="preserve"> service</w:t>
      </w:r>
      <w:r>
        <w:t xml:space="preserve">s </w:t>
      </w:r>
      <w:r w:rsidRPr="00CD69C1">
        <w:t>au</w:t>
      </w:r>
      <w:r>
        <w:t>x</w:t>
      </w:r>
      <w:r w:rsidRPr="00CD69C1">
        <w:t xml:space="preserve"> client</w:t>
      </w:r>
      <w:r>
        <w:t>s</w:t>
      </w:r>
      <w:r w:rsidRPr="00CD69C1">
        <w:t xml:space="preserve"> (accompagnement jeune</w:t>
      </w:r>
      <w:r w:rsidR="00FD5F68">
        <w:t>s</w:t>
      </w:r>
      <w:r w:rsidRPr="00CD69C1">
        <w:t xml:space="preserve"> voyageurs, etc.) et </w:t>
      </w:r>
      <w:r>
        <w:t>des</w:t>
      </w:r>
      <w:r w:rsidRPr="00CD69C1">
        <w:t xml:space="preserve"> service</w:t>
      </w:r>
      <w:r>
        <w:t>s</w:t>
      </w:r>
      <w:r w:rsidRPr="00CD69C1">
        <w:t xml:space="preserve"> au</w:t>
      </w:r>
      <w:r>
        <w:t>x</w:t>
      </w:r>
      <w:r w:rsidRPr="00CD69C1">
        <w:t xml:space="preserve"> train</w:t>
      </w:r>
      <w:r>
        <w:t>s</w:t>
      </w:r>
      <w:r w:rsidRPr="00CD69C1">
        <w:t> (préparation technique, etc.)</w:t>
      </w:r>
      <w:r>
        <w:t>.</w:t>
      </w:r>
    </w:p>
  </w:footnote>
  <w:footnote w:id="10">
    <w:p w14:paraId="3C08A8B5" w14:textId="3E5DF474" w:rsidR="0059361B" w:rsidRDefault="0059361B" w:rsidP="0059361B">
      <w:pPr>
        <w:pStyle w:val="Notedebasdepage"/>
      </w:pPr>
      <w:r>
        <w:rPr>
          <w:rStyle w:val="Appelnotedebasdep"/>
        </w:rPr>
        <w:footnoteRef/>
      </w:r>
      <w:r>
        <w:t xml:space="preserve"> </w:t>
      </w:r>
      <w:r w:rsidRPr="007E5691">
        <w:rPr>
          <w:i/>
          <w:iCs/>
        </w:rPr>
        <w:t>Attestation de conformité établie en application de l’article 24 de la décision de l’ART (ex ARAFER) n°2017-101 du 27 septembre 2017 relative aux règles de séparation comptable applicables aux entreprises ferroviaires</w:t>
      </w:r>
      <w:r>
        <w:t xml:space="preserve">, </w:t>
      </w:r>
      <w:r w:rsidR="007E5691">
        <w:t xml:space="preserve">réalisée par le cabinet </w:t>
      </w:r>
      <w:r w:rsidRPr="0059361B">
        <w:t>BM&amp;A</w:t>
      </w:r>
      <w:r w:rsidR="007E5691">
        <w:t> </w:t>
      </w:r>
      <w:r w:rsidRPr="0059361B">
        <w:t>Advisory</w:t>
      </w:r>
      <w:r w:rsidR="007E5691">
        <w:t> </w:t>
      </w:r>
      <w:r w:rsidRPr="0059361B">
        <w:t>&amp;</w:t>
      </w:r>
      <w:r w:rsidR="007E5691">
        <w:t> </w:t>
      </w:r>
      <w:r w:rsidRPr="0059361B">
        <w:t>Support</w:t>
      </w:r>
    </w:p>
  </w:footnote>
  <w:footnote w:id="11">
    <w:p w14:paraId="70552D14" w14:textId="6C4F070C" w:rsidR="005214EC" w:rsidRPr="005214EC" w:rsidRDefault="005214EC">
      <w:pPr>
        <w:pStyle w:val="Notedebasdepage"/>
        <w:rPr>
          <w:szCs w:val="16"/>
        </w:rPr>
      </w:pPr>
      <w:r w:rsidRPr="005214EC">
        <w:rPr>
          <w:rStyle w:val="Appelnotedebasdep"/>
          <w:szCs w:val="16"/>
        </w:rPr>
        <w:footnoteRef/>
      </w:r>
      <w:r w:rsidRPr="005214EC">
        <w:rPr>
          <w:szCs w:val="16"/>
        </w:rPr>
        <w:t xml:space="preserve"> </w:t>
      </w:r>
      <w:r w:rsidRPr="000A372B">
        <w:rPr>
          <w:rStyle w:val="cf01"/>
          <w:rFonts w:ascii="Roboto" w:hAnsi="Roboto"/>
          <w:sz w:val="16"/>
          <w:szCs w:val="16"/>
        </w:rPr>
        <w:t>Les coûts non-attribuables sont considérés comme des coûts fixes communs. Ils sont affectés aux différents utilisateurs en fonction de la règle de l'utilisateur principal pour la distribution, et au prorata des coûts attribuables pour les prestations d'escale. Les raisons des choix méthodologiques sont développées dans les sections 2.2.1 et 2.2.2.</w:t>
      </w:r>
    </w:p>
  </w:footnote>
  <w:footnote w:id="12">
    <w:p w14:paraId="6E97964B" w14:textId="4268004C" w:rsidR="007E4967" w:rsidRDefault="007E4967">
      <w:pPr>
        <w:pStyle w:val="Notedebasdepage"/>
      </w:pPr>
      <w:r>
        <w:rPr>
          <w:rStyle w:val="Appelnotedebasdep"/>
        </w:rPr>
        <w:footnoteRef/>
      </w:r>
      <w:r w:rsidRPr="007E4967">
        <w:rPr>
          <w:szCs w:val="16"/>
        </w:rPr>
        <w:t>L’</w:t>
      </w:r>
      <w:r w:rsidRPr="000A372B">
        <w:rPr>
          <w:rStyle w:val="cf01"/>
          <w:rFonts w:ascii="Roboto" w:hAnsi="Roboto"/>
          <w:sz w:val="16"/>
          <w:szCs w:val="16"/>
        </w:rPr>
        <w:t>utilisateur principal est ici le gestionnaire du réseau de distribution, c’est-à-dire soit TER, soit TGV.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E3BB" w14:textId="5757FE50" w:rsidR="009E3084" w:rsidRDefault="009E30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9256" w14:textId="65C42046" w:rsidR="00365220" w:rsidRDefault="003652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DA1" w14:textId="02FA4C91" w:rsidR="00E67B00" w:rsidRDefault="004A2F3B" w:rsidP="008425EC">
    <w:pPr>
      <w:pStyle w:val="En-tte"/>
      <w:ind w:hanging="1134"/>
    </w:pPr>
    <w:r>
      <w:rPr>
        <w:noProof/>
      </w:rPr>
      <w:drawing>
        <wp:anchor distT="0" distB="0" distL="114300" distR="114300" simplePos="0" relativeHeight="251658240" behindDoc="0" locked="0" layoutInCell="1" allowOverlap="1" wp14:anchorId="260161D0" wp14:editId="1E123C8F">
          <wp:simplePos x="0" y="0"/>
          <wp:positionH relativeFrom="column">
            <wp:posOffset>-1002665</wp:posOffset>
          </wp:positionH>
          <wp:positionV relativeFrom="paragraph">
            <wp:posOffset>-437514</wp:posOffset>
          </wp:positionV>
          <wp:extent cx="7559675" cy="8902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16678"/>
                  <a:stretch/>
                </pic:blipFill>
                <pic:spPr bwMode="auto">
                  <a:xfrm>
                    <a:off x="0" y="0"/>
                    <a:ext cx="7560129" cy="890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694"/>
    <w:multiLevelType w:val="hybridMultilevel"/>
    <w:tmpl w:val="9B349A94"/>
    <w:lvl w:ilvl="0" w:tplc="DC4E5836">
      <w:numFmt w:val="bullet"/>
      <w:lvlText w:val="-"/>
      <w:lvlJc w:val="left"/>
      <w:pPr>
        <w:ind w:left="720" w:hanging="360"/>
      </w:pPr>
      <w:rPr>
        <w:rFonts w:ascii="Roboto" w:eastAsiaTheme="minorHAnsi" w:hAnsi="Roboto"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669A8"/>
    <w:multiLevelType w:val="hybridMultilevel"/>
    <w:tmpl w:val="91F4D462"/>
    <w:lvl w:ilvl="0" w:tplc="9DFEC0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EE01EC2"/>
    <w:multiLevelType w:val="multilevel"/>
    <w:tmpl w:val="5FD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14A4C"/>
    <w:multiLevelType w:val="hybridMultilevel"/>
    <w:tmpl w:val="247AE81C"/>
    <w:lvl w:ilvl="0" w:tplc="ABB24902">
      <w:start w:val="1"/>
      <w:numFmt w:val="bullet"/>
      <w:lvlText w:val="-"/>
      <w:lvlJc w:val="left"/>
      <w:pPr>
        <w:ind w:left="720" w:hanging="360"/>
      </w:pPr>
      <w:rPr>
        <w:rFonts w:ascii="Roboto" w:eastAsiaTheme="minorHAnsi" w:hAnsi="Roboto"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705B16"/>
    <w:multiLevelType w:val="hybridMultilevel"/>
    <w:tmpl w:val="0AD02C34"/>
    <w:lvl w:ilvl="0" w:tplc="D55499EC">
      <w:start w:val="1"/>
      <w:numFmt w:val="bullet"/>
      <w:pStyle w:val="Listeavectirets"/>
      <w:lvlText w:val="-"/>
      <w:lvlJc w:val="left"/>
      <w:pPr>
        <w:ind w:left="1287" w:hanging="360"/>
      </w:pPr>
      <w:rPr>
        <w:rFonts w:ascii="Franklin Gothic Book" w:hAnsi="Franklin Gothic Book" w:hint="default"/>
      </w:rPr>
    </w:lvl>
    <w:lvl w:ilvl="1" w:tplc="A73ACF4A">
      <w:start w:val="1"/>
      <w:numFmt w:val="bullet"/>
      <w:lvlText w:val=""/>
      <w:lvlJc w:val="left"/>
      <w:pPr>
        <w:ind w:left="2007" w:hanging="360"/>
      </w:pPr>
      <w:rPr>
        <w:rFonts w:ascii="Wingdings 3" w:hAnsi="Wingdings 3"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BBF09FD"/>
    <w:multiLevelType w:val="hybridMultilevel"/>
    <w:tmpl w:val="9D58C5C2"/>
    <w:lvl w:ilvl="0" w:tplc="529EFF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4B6FD5"/>
    <w:multiLevelType w:val="hybridMultilevel"/>
    <w:tmpl w:val="DD20A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D7442"/>
    <w:multiLevelType w:val="hybridMultilevel"/>
    <w:tmpl w:val="75A600E0"/>
    <w:lvl w:ilvl="0" w:tplc="FFFFFFFF">
      <w:numFmt w:val="bullet"/>
      <w:pStyle w:val="Listetirets"/>
      <w:lvlText w:val="-"/>
      <w:lvlJc w:val="left"/>
      <w:pPr>
        <w:ind w:left="720" w:hanging="360"/>
      </w:pPr>
      <w:rPr>
        <w:rFonts w:ascii="Franklin Gothic Book" w:hAnsi="Franklin Gothic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CD09B5"/>
    <w:multiLevelType w:val="hybridMultilevel"/>
    <w:tmpl w:val="4A74BDE2"/>
    <w:lvl w:ilvl="0" w:tplc="529EFF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AF1592"/>
    <w:multiLevelType w:val="hybridMultilevel"/>
    <w:tmpl w:val="AE987FB8"/>
    <w:lvl w:ilvl="0" w:tplc="FFFFFFFF">
      <w:start w:val="1"/>
      <w:numFmt w:val="decimal"/>
      <w:pStyle w:val="Paragraphedeliste"/>
      <w:lvlText w:val="%1."/>
      <w:lvlJc w:val="right"/>
      <w:pPr>
        <w:ind w:left="20" w:hanging="360"/>
      </w:pPr>
      <w:rPr>
        <w:b w:val="0"/>
        <w:i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EE2367"/>
    <w:multiLevelType w:val="multilevel"/>
    <w:tmpl w:val="839451C6"/>
    <w:lvl w:ilvl="0">
      <w:start w:val="1"/>
      <w:numFmt w:val="decimal"/>
      <w:pStyle w:val="Titre1"/>
      <w:lvlText w:val="%1."/>
      <w:lvlJc w:val="left"/>
      <w:pPr>
        <w:ind w:left="340" w:hanging="340"/>
      </w:pPr>
      <w:rPr>
        <w:rFonts w:ascii="Roboto Medium" w:hAnsi="Roboto Medium" w:hint="default"/>
        <w:color w:val="24356D"/>
        <w:sz w:val="24"/>
      </w:rPr>
    </w:lvl>
    <w:lvl w:ilvl="1">
      <w:start w:val="1"/>
      <w:numFmt w:val="decimal"/>
      <w:pStyle w:val="Titre2"/>
      <w:lvlText w:val="%1.%2"/>
      <w:lvlJc w:val="left"/>
      <w:pPr>
        <w:ind w:left="454" w:hanging="284"/>
      </w:pPr>
      <w:rPr>
        <w:rFonts w:ascii="Roboto" w:hAnsi="Roboto" w:hint="default"/>
        <w:color w:val="24356D"/>
        <w:sz w:val="22"/>
      </w:rPr>
    </w:lvl>
    <w:lvl w:ilvl="2">
      <w:start w:val="1"/>
      <w:numFmt w:val="decimal"/>
      <w:pStyle w:val="Titre3"/>
      <w:lvlText w:val="%1.%2.%3."/>
      <w:lvlJc w:val="left"/>
      <w:pPr>
        <w:ind w:left="1191" w:hanging="624"/>
      </w:pPr>
      <w:rPr>
        <w:rFonts w:hint="default"/>
        <w:color w:val="263561"/>
      </w:rPr>
    </w:lvl>
    <w:lvl w:ilvl="3">
      <w:start w:val="1"/>
      <w:numFmt w:val="lowerLetter"/>
      <w:pStyle w:val="Titre4"/>
      <w:lvlText w:val="%4."/>
      <w:lvlJc w:val="left"/>
      <w:pPr>
        <w:ind w:left="1474" w:hanging="283"/>
      </w:pPr>
      <w:rPr>
        <w:rFonts w:ascii="Roboto" w:hAnsi="Roboto" w:hint="default"/>
        <w:color w:val="24356D"/>
        <w:sz w:val="19"/>
      </w:rPr>
    </w:lvl>
    <w:lvl w:ilvl="4">
      <w:start w:val="1"/>
      <w:numFmt w:val="bullet"/>
      <w:pStyle w:val="Titre5"/>
      <w:suff w:val="space"/>
      <w:lvlText w:val=""/>
      <w:lvlJc w:val="left"/>
      <w:pPr>
        <w:ind w:left="1701" w:hanging="113"/>
      </w:pPr>
      <w:rPr>
        <w:rFonts w:ascii="Wingdings" w:hAnsi="Wingdings" w:hint="default"/>
        <w:color w:val="24356D"/>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E67596"/>
    <w:multiLevelType w:val="hybridMultilevel"/>
    <w:tmpl w:val="BFACDAC4"/>
    <w:lvl w:ilvl="0" w:tplc="529EFF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DC09DF"/>
    <w:multiLevelType w:val="hybridMultilevel"/>
    <w:tmpl w:val="AB9AA83E"/>
    <w:lvl w:ilvl="0" w:tplc="7DEE92A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673335">
    <w:abstractNumId w:val="10"/>
  </w:num>
  <w:num w:numId="2" w16cid:durableId="962463317">
    <w:abstractNumId w:val="12"/>
  </w:num>
  <w:num w:numId="3" w16cid:durableId="96606943">
    <w:abstractNumId w:val="8"/>
  </w:num>
  <w:num w:numId="4" w16cid:durableId="1710956745">
    <w:abstractNumId w:val="2"/>
  </w:num>
  <w:num w:numId="5" w16cid:durableId="2013098914">
    <w:abstractNumId w:val="11"/>
  </w:num>
  <w:num w:numId="6" w16cid:durableId="2044402736">
    <w:abstractNumId w:val="4"/>
  </w:num>
  <w:num w:numId="7" w16cid:durableId="58014769">
    <w:abstractNumId w:val="0"/>
  </w:num>
  <w:num w:numId="8" w16cid:durableId="336228671">
    <w:abstractNumId w:val="1"/>
  </w:num>
  <w:num w:numId="9" w16cid:durableId="898904972">
    <w:abstractNumId w:val="3"/>
  </w:num>
  <w:num w:numId="10" w16cid:durableId="1015420264">
    <w:abstractNumId w:val="8"/>
  </w:num>
  <w:num w:numId="11" w16cid:durableId="1117793996">
    <w:abstractNumId w:val="5"/>
  </w:num>
  <w:num w:numId="12" w16cid:durableId="419646374">
    <w:abstractNumId w:val="14"/>
  </w:num>
  <w:num w:numId="13" w16cid:durableId="431053775">
    <w:abstractNumId w:val="11"/>
  </w:num>
  <w:num w:numId="14" w16cid:durableId="1471170425">
    <w:abstractNumId w:val="7"/>
  </w:num>
  <w:num w:numId="15" w16cid:durableId="2008090617">
    <w:abstractNumId w:val="6"/>
  </w:num>
  <w:num w:numId="16" w16cid:durableId="343632023">
    <w:abstractNumId w:val="13"/>
  </w:num>
  <w:num w:numId="17" w16cid:durableId="92943494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38"/>
    <w:rsid w:val="00000240"/>
    <w:rsid w:val="00000329"/>
    <w:rsid w:val="00001476"/>
    <w:rsid w:val="00003E06"/>
    <w:rsid w:val="00004188"/>
    <w:rsid w:val="0000746F"/>
    <w:rsid w:val="00012877"/>
    <w:rsid w:val="00014016"/>
    <w:rsid w:val="0001406D"/>
    <w:rsid w:val="00014A7D"/>
    <w:rsid w:val="00016EB6"/>
    <w:rsid w:val="000177C6"/>
    <w:rsid w:val="00020998"/>
    <w:rsid w:val="00020C54"/>
    <w:rsid w:val="00020DE0"/>
    <w:rsid w:val="00020DF2"/>
    <w:rsid w:val="00020F32"/>
    <w:rsid w:val="00021D9B"/>
    <w:rsid w:val="000225A5"/>
    <w:rsid w:val="0002313A"/>
    <w:rsid w:val="0002416C"/>
    <w:rsid w:val="00026225"/>
    <w:rsid w:val="000315BD"/>
    <w:rsid w:val="00031C74"/>
    <w:rsid w:val="00033901"/>
    <w:rsid w:val="000431A6"/>
    <w:rsid w:val="00043924"/>
    <w:rsid w:val="00043961"/>
    <w:rsid w:val="00045432"/>
    <w:rsid w:val="00045E6C"/>
    <w:rsid w:val="00052442"/>
    <w:rsid w:val="0005294E"/>
    <w:rsid w:val="00054F1D"/>
    <w:rsid w:val="000564E0"/>
    <w:rsid w:val="00057D1C"/>
    <w:rsid w:val="00064D64"/>
    <w:rsid w:val="00065C0F"/>
    <w:rsid w:val="0007056F"/>
    <w:rsid w:val="0007116A"/>
    <w:rsid w:val="0007210A"/>
    <w:rsid w:val="00076DE8"/>
    <w:rsid w:val="00080238"/>
    <w:rsid w:val="00081643"/>
    <w:rsid w:val="000819D4"/>
    <w:rsid w:val="00082092"/>
    <w:rsid w:val="000820CB"/>
    <w:rsid w:val="0008292E"/>
    <w:rsid w:val="00083971"/>
    <w:rsid w:val="000839C2"/>
    <w:rsid w:val="0008470A"/>
    <w:rsid w:val="000870C4"/>
    <w:rsid w:val="0008770A"/>
    <w:rsid w:val="00090008"/>
    <w:rsid w:val="000902C3"/>
    <w:rsid w:val="00091253"/>
    <w:rsid w:val="00093A04"/>
    <w:rsid w:val="0009450B"/>
    <w:rsid w:val="00094A03"/>
    <w:rsid w:val="00094AB1"/>
    <w:rsid w:val="00094FC4"/>
    <w:rsid w:val="00096D76"/>
    <w:rsid w:val="000A1B03"/>
    <w:rsid w:val="000A372B"/>
    <w:rsid w:val="000A50D4"/>
    <w:rsid w:val="000A6439"/>
    <w:rsid w:val="000A73C4"/>
    <w:rsid w:val="000A76A7"/>
    <w:rsid w:val="000A7B19"/>
    <w:rsid w:val="000B1917"/>
    <w:rsid w:val="000B29A1"/>
    <w:rsid w:val="000B2F4A"/>
    <w:rsid w:val="000B2FBE"/>
    <w:rsid w:val="000B5319"/>
    <w:rsid w:val="000B62E7"/>
    <w:rsid w:val="000B6477"/>
    <w:rsid w:val="000B6CA9"/>
    <w:rsid w:val="000B7D20"/>
    <w:rsid w:val="000C347B"/>
    <w:rsid w:val="000C3DB5"/>
    <w:rsid w:val="000C43FA"/>
    <w:rsid w:val="000C4E32"/>
    <w:rsid w:val="000C5CFC"/>
    <w:rsid w:val="000C6155"/>
    <w:rsid w:val="000C7DD3"/>
    <w:rsid w:val="000D02ED"/>
    <w:rsid w:val="000D1807"/>
    <w:rsid w:val="000D613A"/>
    <w:rsid w:val="000D7585"/>
    <w:rsid w:val="000E140E"/>
    <w:rsid w:val="000E305E"/>
    <w:rsid w:val="000E3E32"/>
    <w:rsid w:val="000E7276"/>
    <w:rsid w:val="000E75A6"/>
    <w:rsid w:val="000F0219"/>
    <w:rsid w:val="000F230D"/>
    <w:rsid w:val="000F2F7D"/>
    <w:rsid w:val="000F31C2"/>
    <w:rsid w:val="000F399D"/>
    <w:rsid w:val="000F3AB0"/>
    <w:rsid w:val="000F3E90"/>
    <w:rsid w:val="000F4857"/>
    <w:rsid w:val="000F510A"/>
    <w:rsid w:val="000F5A53"/>
    <w:rsid w:val="000F5A7A"/>
    <w:rsid w:val="000F5FA4"/>
    <w:rsid w:val="000F7DC5"/>
    <w:rsid w:val="001048CA"/>
    <w:rsid w:val="00106439"/>
    <w:rsid w:val="0010786D"/>
    <w:rsid w:val="0011402B"/>
    <w:rsid w:val="00114B54"/>
    <w:rsid w:val="001150BB"/>
    <w:rsid w:val="0011523C"/>
    <w:rsid w:val="001159F8"/>
    <w:rsid w:val="0011772F"/>
    <w:rsid w:val="00120B3E"/>
    <w:rsid w:val="00120BC6"/>
    <w:rsid w:val="00121656"/>
    <w:rsid w:val="0012175B"/>
    <w:rsid w:val="00125EAD"/>
    <w:rsid w:val="00125F45"/>
    <w:rsid w:val="00126587"/>
    <w:rsid w:val="00135DF7"/>
    <w:rsid w:val="001360CE"/>
    <w:rsid w:val="001413C1"/>
    <w:rsid w:val="00141E77"/>
    <w:rsid w:val="001427FD"/>
    <w:rsid w:val="00142839"/>
    <w:rsid w:val="00144DE5"/>
    <w:rsid w:val="00144E14"/>
    <w:rsid w:val="0014566E"/>
    <w:rsid w:val="00145FB3"/>
    <w:rsid w:val="00146891"/>
    <w:rsid w:val="00146E64"/>
    <w:rsid w:val="00152C28"/>
    <w:rsid w:val="001537EB"/>
    <w:rsid w:val="00153C5B"/>
    <w:rsid w:val="00154F7B"/>
    <w:rsid w:val="00155089"/>
    <w:rsid w:val="001558A0"/>
    <w:rsid w:val="00155E10"/>
    <w:rsid w:val="00156A77"/>
    <w:rsid w:val="001600D0"/>
    <w:rsid w:val="00162BF7"/>
    <w:rsid w:val="00162CEE"/>
    <w:rsid w:val="00162CFC"/>
    <w:rsid w:val="001661C6"/>
    <w:rsid w:val="00166BAE"/>
    <w:rsid w:val="00166E22"/>
    <w:rsid w:val="00170BEC"/>
    <w:rsid w:val="00173642"/>
    <w:rsid w:val="00175D16"/>
    <w:rsid w:val="0017634A"/>
    <w:rsid w:val="00181817"/>
    <w:rsid w:val="00181885"/>
    <w:rsid w:val="00181BFF"/>
    <w:rsid w:val="00181C93"/>
    <w:rsid w:val="00183360"/>
    <w:rsid w:val="0018560F"/>
    <w:rsid w:val="00185F80"/>
    <w:rsid w:val="00187663"/>
    <w:rsid w:val="00187C9F"/>
    <w:rsid w:val="00193A7E"/>
    <w:rsid w:val="0019443E"/>
    <w:rsid w:val="0019558F"/>
    <w:rsid w:val="00195D2F"/>
    <w:rsid w:val="00197E93"/>
    <w:rsid w:val="001A0169"/>
    <w:rsid w:val="001A1244"/>
    <w:rsid w:val="001A213F"/>
    <w:rsid w:val="001A3584"/>
    <w:rsid w:val="001A6B2E"/>
    <w:rsid w:val="001B0132"/>
    <w:rsid w:val="001B1283"/>
    <w:rsid w:val="001B1343"/>
    <w:rsid w:val="001B208F"/>
    <w:rsid w:val="001B2367"/>
    <w:rsid w:val="001B34C5"/>
    <w:rsid w:val="001B3B1F"/>
    <w:rsid w:val="001B73F8"/>
    <w:rsid w:val="001C0308"/>
    <w:rsid w:val="001C405B"/>
    <w:rsid w:val="001C5B17"/>
    <w:rsid w:val="001C710C"/>
    <w:rsid w:val="001D428A"/>
    <w:rsid w:val="001D5429"/>
    <w:rsid w:val="001D7B20"/>
    <w:rsid w:val="001E0E67"/>
    <w:rsid w:val="001E3097"/>
    <w:rsid w:val="001E4551"/>
    <w:rsid w:val="001E4D0A"/>
    <w:rsid w:val="001F5409"/>
    <w:rsid w:val="001F73B2"/>
    <w:rsid w:val="00200AA7"/>
    <w:rsid w:val="00200BAB"/>
    <w:rsid w:val="00201709"/>
    <w:rsid w:val="002034C2"/>
    <w:rsid w:val="00203F55"/>
    <w:rsid w:val="0020475F"/>
    <w:rsid w:val="00211CB6"/>
    <w:rsid w:val="00215355"/>
    <w:rsid w:val="00221C3D"/>
    <w:rsid w:val="00222D0A"/>
    <w:rsid w:val="00223FAE"/>
    <w:rsid w:val="00224B67"/>
    <w:rsid w:val="00224ED0"/>
    <w:rsid w:val="00226697"/>
    <w:rsid w:val="0022675B"/>
    <w:rsid w:val="0023019D"/>
    <w:rsid w:val="0023078F"/>
    <w:rsid w:val="00231A68"/>
    <w:rsid w:val="00234CEE"/>
    <w:rsid w:val="00235314"/>
    <w:rsid w:val="00235682"/>
    <w:rsid w:val="00241A6A"/>
    <w:rsid w:val="00241C0A"/>
    <w:rsid w:val="00241C22"/>
    <w:rsid w:val="00242B31"/>
    <w:rsid w:val="00243EFC"/>
    <w:rsid w:val="00245419"/>
    <w:rsid w:val="0024571A"/>
    <w:rsid w:val="00245733"/>
    <w:rsid w:val="002463F8"/>
    <w:rsid w:val="00246AD1"/>
    <w:rsid w:val="00246AD5"/>
    <w:rsid w:val="00246B19"/>
    <w:rsid w:val="00246E80"/>
    <w:rsid w:val="00247475"/>
    <w:rsid w:val="00247CAB"/>
    <w:rsid w:val="00252308"/>
    <w:rsid w:val="002535DA"/>
    <w:rsid w:val="0025360D"/>
    <w:rsid w:val="00253CD1"/>
    <w:rsid w:val="00253EA9"/>
    <w:rsid w:val="0025429B"/>
    <w:rsid w:val="002548F8"/>
    <w:rsid w:val="00255A6B"/>
    <w:rsid w:val="002578E0"/>
    <w:rsid w:val="00257938"/>
    <w:rsid w:val="00260A86"/>
    <w:rsid w:val="00261DDE"/>
    <w:rsid w:val="0026268A"/>
    <w:rsid w:val="00263915"/>
    <w:rsid w:val="002639BD"/>
    <w:rsid w:val="0026468C"/>
    <w:rsid w:val="0026483C"/>
    <w:rsid w:val="00265340"/>
    <w:rsid w:val="00265A21"/>
    <w:rsid w:val="00265F39"/>
    <w:rsid w:val="002667DD"/>
    <w:rsid w:val="0026711F"/>
    <w:rsid w:val="002675EA"/>
    <w:rsid w:val="00271C70"/>
    <w:rsid w:val="0027303F"/>
    <w:rsid w:val="00273E3D"/>
    <w:rsid w:val="00274098"/>
    <w:rsid w:val="002741B8"/>
    <w:rsid w:val="002756E2"/>
    <w:rsid w:val="002762E1"/>
    <w:rsid w:val="00276EC0"/>
    <w:rsid w:val="0027737E"/>
    <w:rsid w:val="00280D6E"/>
    <w:rsid w:val="00281662"/>
    <w:rsid w:val="00282CAA"/>
    <w:rsid w:val="002833B4"/>
    <w:rsid w:val="00284855"/>
    <w:rsid w:val="00284E92"/>
    <w:rsid w:val="002864DD"/>
    <w:rsid w:val="00286F8D"/>
    <w:rsid w:val="00290A18"/>
    <w:rsid w:val="00290EA0"/>
    <w:rsid w:val="00292375"/>
    <w:rsid w:val="00293B05"/>
    <w:rsid w:val="00293D61"/>
    <w:rsid w:val="002944C1"/>
    <w:rsid w:val="0029483F"/>
    <w:rsid w:val="002958F2"/>
    <w:rsid w:val="002A2A44"/>
    <w:rsid w:val="002A41BD"/>
    <w:rsid w:val="002A6422"/>
    <w:rsid w:val="002B0BF6"/>
    <w:rsid w:val="002B19C4"/>
    <w:rsid w:val="002B2087"/>
    <w:rsid w:val="002B2C1A"/>
    <w:rsid w:val="002B52DA"/>
    <w:rsid w:val="002B6B99"/>
    <w:rsid w:val="002B79EE"/>
    <w:rsid w:val="002C0C3F"/>
    <w:rsid w:val="002C4240"/>
    <w:rsid w:val="002C473D"/>
    <w:rsid w:val="002C56E3"/>
    <w:rsid w:val="002C5840"/>
    <w:rsid w:val="002C6004"/>
    <w:rsid w:val="002C65DD"/>
    <w:rsid w:val="002C71CA"/>
    <w:rsid w:val="002D11F3"/>
    <w:rsid w:val="002D39D9"/>
    <w:rsid w:val="002D3C5E"/>
    <w:rsid w:val="002D51C0"/>
    <w:rsid w:val="002D6141"/>
    <w:rsid w:val="002E259F"/>
    <w:rsid w:val="002E32B4"/>
    <w:rsid w:val="002E4C74"/>
    <w:rsid w:val="002E514E"/>
    <w:rsid w:val="002E5900"/>
    <w:rsid w:val="002E75C3"/>
    <w:rsid w:val="002F095D"/>
    <w:rsid w:val="002F2719"/>
    <w:rsid w:val="002F2BF4"/>
    <w:rsid w:val="002F4448"/>
    <w:rsid w:val="002F45CF"/>
    <w:rsid w:val="002F4D28"/>
    <w:rsid w:val="002F5F16"/>
    <w:rsid w:val="002F6BCF"/>
    <w:rsid w:val="002F71A9"/>
    <w:rsid w:val="003010A5"/>
    <w:rsid w:val="00301A3C"/>
    <w:rsid w:val="003020F8"/>
    <w:rsid w:val="00302946"/>
    <w:rsid w:val="00302A58"/>
    <w:rsid w:val="00302CF8"/>
    <w:rsid w:val="003042E6"/>
    <w:rsid w:val="0030768C"/>
    <w:rsid w:val="00307718"/>
    <w:rsid w:val="003103B0"/>
    <w:rsid w:val="00310F71"/>
    <w:rsid w:val="0031216D"/>
    <w:rsid w:val="0031232C"/>
    <w:rsid w:val="00315D09"/>
    <w:rsid w:val="003241A4"/>
    <w:rsid w:val="00326263"/>
    <w:rsid w:val="003267C9"/>
    <w:rsid w:val="00327103"/>
    <w:rsid w:val="003272BE"/>
    <w:rsid w:val="003276C3"/>
    <w:rsid w:val="00330B58"/>
    <w:rsid w:val="003317E7"/>
    <w:rsid w:val="00332A84"/>
    <w:rsid w:val="003337E7"/>
    <w:rsid w:val="00340002"/>
    <w:rsid w:val="003405F2"/>
    <w:rsid w:val="00341841"/>
    <w:rsid w:val="00344351"/>
    <w:rsid w:val="00346A47"/>
    <w:rsid w:val="00347D66"/>
    <w:rsid w:val="003513B7"/>
    <w:rsid w:val="003516E3"/>
    <w:rsid w:val="0036256B"/>
    <w:rsid w:val="00365220"/>
    <w:rsid w:val="00365780"/>
    <w:rsid w:val="003679F8"/>
    <w:rsid w:val="0037189D"/>
    <w:rsid w:val="003721B6"/>
    <w:rsid w:val="003745B9"/>
    <w:rsid w:val="003745BB"/>
    <w:rsid w:val="00375883"/>
    <w:rsid w:val="003768F3"/>
    <w:rsid w:val="003771EF"/>
    <w:rsid w:val="00382874"/>
    <w:rsid w:val="0038423F"/>
    <w:rsid w:val="00384CD0"/>
    <w:rsid w:val="003855D8"/>
    <w:rsid w:val="00385D8E"/>
    <w:rsid w:val="00386509"/>
    <w:rsid w:val="0039088E"/>
    <w:rsid w:val="00397068"/>
    <w:rsid w:val="00397C87"/>
    <w:rsid w:val="003A3FE4"/>
    <w:rsid w:val="003A52FB"/>
    <w:rsid w:val="003B038C"/>
    <w:rsid w:val="003B1598"/>
    <w:rsid w:val="003B275E"/>
    <w:rsid w:val="003B2C22"/>
    <w:rsid w:val="003B2D14"/>
    <w:rsid w:val="003B326D"/>
    <w:rsid w:val="003B3771"/>
    <w:rsid w:val="003B37A9"/>
    <w:rsid w:val="003B3CB0"/>
    <w:rsid w:val="003B4621"/>
    <w:rsid w:val="003B4E7C"/>
    <w:rsid w:val="003B60D6"/>
    <w:rsid w:val="003B611F"/>
    <w:rsid w:val="003B69FD"/>
    <w:rsid w:val="003B7403"/>
    <w:rsid w:val="003B7D44"/>
    <w:rsid w:val="003C09FA"/>
    <w:rsid w:val="003C0C7C"/>
    <w:rsid w:val="003C1DA8"/>
    <w:rsid w:val="003C6857"/>
    <w:rsid w:val="003C6A63"/>
    <w:rsid w:val="003C7B14"/>
    <w:rsid w:val="003D06F0"/>
    <w:rsid w:val="003D0C0D"/>
    <w:rsid w:val="003D2F3D"/>
    <w:rsid w:val="003D3352"/>
    <w:rsid w:val="003D39B4"/>
    <w:rsid w:val="003D3B9E"/>
    <w:rsid w:val="003D54BD"/>
    <w:rsid w:val="003E2A8B"/>
    <w:rsid w:val="003E2AA1"/>
    <w:rsid w:val="003E5852"/>
    <w:rsid w:val="003E6419"/>
    <w:rsid w:val="003F2203"/>
    <w:rsid w:val="003F24F9"/>
    <w:rsid w:val="003F2E8D"/>
    <w:rsid w:val="003F2E9D"/>
    <w:rsid w:val="003F63F8"/>
    <w:rsid w:val="0040067A"/>
    <w:rsid w:val="00400FC5"/>
    <w:rsid w:val="0040238B"/>
    <w:rsid w:val="004031AB"/>
    <w:rsid w:val="00404E2A"/>
    <w:rsid w:val="00404F3D"/>
    <w:rsid w:val="00404FB5"/>
    <w:rsid w:val="00406A10"/>
    <w:rsid w:val="004075B0"/>
    <w:rsid w:val="004103D7"/>
    <w:rsid w:val="00410867"/>
    <w:rsid w:val="00410AF5"/>
    <w:rsid w:val="0041210B"/>
    <w:rsid w:val="0041219D"/>
    <w:rsid w:val="00414058"/>
    <w:rsid w:val="0041479D"/>
    <w:rsid w:val="0041596E"/>
    <w:rsid w:val="00417AD9"/>
    <w:rsid w:val="0042219A"/>
    <w:rsid w:val="00425874"/>
    <w:rsid w:val="004278F3"/>
    <w:rsid w:val="00431BD1"/>
    <w:rsid w:val="004321AC"/>
    <w:rsid w:val="00433489"/>
    <w:rsid w:val="00433E2F"/>
    <w:rsid w:val="00434FFD"/>
    <w:rsid w:val="0043767C"/>
    <w:rsid w:val="0044638F"/>
    <w:rsid w:val="00446C27"/>
    <w:rsid w:val="00447CB6"/>
    <w:rsid w:val="00451327"/>
    <w:rsid w:val="00452C8A"/>
    <w:rsid w:val="00455DAD"/>
    <w:rsid w:val="004572CB"/>
    <w:rsid w:val="00462180"/>
    <w:rsid w:val="00462F79"/>
    <w:rsid w:val="004630EE"/>
    <w:rsid w:val="00474DCA"/>
    <w:rsid w:val="00477EA7"/>
    <w:rsid w:val="004821BA"/>
    <w:rsid w:val="00483721"/>
    <w:rsid w:val="00485378"/>
    <w:rsid w:val="004905D0"/>
    <w:rsid w:val="0049467A"/>
    <w:rsid w:val="004948F6"/>
    <w:rsid w:val="00495535"/>
    <w:rsid w:val="00495E3B"/>
    <w:rsid w:val="00496668"/>
    <w:rsid w:val="00496802"/>
    <w:rsid w:val="00497913"/>
    <w:rsid w:val="004A1857"/>
    <w:rsid w:val="004A2F3B"/>
    <w:rsid w:val="004A4E51"/>
    <w:rsid w:val="004A5F50"/>
    <w:rsid w:val="004A6DF7"/>
    <w:rsid w:val="004A7F60"/>
    <w:rsid w:val="004B1E7E"/>
    <w:rsid w:val="004B297B"/>
    <w:rsid w:val="004B3258"/>
    <w:rsid w:val="004B3821"/>
    <w:rsid w:val="004B4F41"/>
    <w:rsid w:val="004B6F2A"/>
    <w:rsid w:val="004C08F3"/>
    <w:rsid w:val="004C1282"/>
    <w:rsid w:val="004C13C3"/>
    <w:rsid w:val="004C3DA6"/>
    <w:rsid w:val="004C6F8C"/>
    <w:rsid w:val="004D0685"/>
    <w:rsid w:val="004D07A5"/>
    <w:rsid w:val="004D4DE5"/>
    <w:rsid w:val="004E227C"/>
    <w:rsid w:val="004E2E4F"/>
    <w:rsid w:val="004E4A51"/>
    <w:rsid w:val="004F069F"/>
    <w:rsid w:val="004F0977"/>
    <w:rsid w:val="004F231C"/>
    <w:rsid w:val="004F2558"/>
    <w:rsid w:val="004F46BA"/>
    <w:rsid w:val="004F5739"/>
    <w:rsid w:val="004F6AE8"/>
    <w:rsid w:val="004F7E3B"/>
    <w:rsid w:val="004F7EB2"/>
    <w:rsid w:val="004F8B7B"/>
    <w:rsid w:val="005013EE"/>
    <w:rsid w:val="0050185D"/>
    <w:rsid w:val="00501918"/>
    <w:rsid w:val="0050235A"/>
    <w:rsid w:val="005109F7"/>
    <w:rsid w:val="00511855"/>
    <w:rsid w:val="00512E9C"/>
    <w:rsid w:val="0051347A"/>
    <w:rsid w:val="00514BA1"/>
    <w:rsid w:val="00514D1C"/>
    <w:rsid w:val="00514FBA"/>
    <w:rsid w:val="00515D62"/>
    <w:rsid w:val="00516804"/>
    <w:rsid w:val="005206F9"/>
    <w:rsid w:val="005214EC"/>
    <w:rsid w:val="00521C65"/>
    <w:rsid w:val="00532481"/>
    <w:rsid w:val="00533735"/>
    <w:rsid w:val="00536FB3"/>
    <w:rsid w:val="00541E63"/>
    <w:rsid w:val="005427FB"/>
    <w:rsid w:val="00543BEE"/>
    <w:rsid w:val="00544CEF"/>
    <w:rsid w:val="00547B83"/>
    <w:rsid w:val="00553A8C"/>
    <w:rsid w:val="00554356"/>
    <w:rsid w:val="00554CA2"/>
    <w:rsid w:val="0056016C"/>
    <w:rsid w:val="0056209D"/>
    <w:rsid w:val="005620E3"/>
    <w:rsid w:val="005641DC"/>
    <w:rsid w:val="0056433F"/>
    <w:rsid w:val="0056441A"/>
    <w:rsid w:val="0056555F"/>
    <w:rsid w:val="005678B0"/>
    <w:rsid w:val="00570AF9"/>
    <w:rsid w:val="00570CC6"/>
    <w:rsid w:val="00575214"/>
    <w:rsid w:val="00577F2F"/>
    <w:rsid w:val="00581082"/>
    <w:rsid w:val="0058201D"/>
    <w:rsid w:val="00582882"/>
    <w:rsid w:val="0058348C"/>
    <w:rsid w:val="0058436F"/>
    <w:rsid w:val="00584F1F"/>
    <w:rsid w:val="005860B1"/>
    <w:rsid w:val="00586663"/>
    <w:rsid w:val="0059094D"/>
    <w:rsid w:val="005909EE"/>
    <w:rsid w:val="00592CC4"/>
    <w:rsid w:val="00593568"/>
    <w:rsid w:val="0059361B"/>
    <w:rsid w:val="00593DAD"/>
    <w:rsid w:val="005943F6"/>
    <w:rsid w:val="00597621"/>
    <w:rsid w:val="00597CD5"/>
    <w:rsid w:val="005A1880"/>
    <w:rsid w:val="005A21AE"/>
    <w:rsid w:val="005A31A6"/>
    <w:rsid w:val="005A7DDF"/>
    <w:rsid w:val="005A7F78"/>
    <w:rsid w:val="005B0AF0"/>
    <w:rsid w:val="005B1EAA"/>
    <w:rsid w:val="005B57A2"/>
    <w:rsid w:val="005B6583"/>
    <w:rsid w:val="005C1441"/>
    <w:rsid w:val="005C1C51"/>
    <w:rsid w:val="005C2CB4"/>
    <w:rsid w:val="005C30BD"/>
    <w:rsid w:val="005C3D21"/>
    <w:rsid w:val="005C3D28"/>
    <w:rsid w:val="005C4D7D"/>
    <w:rsid w:val="005C77ED"/>
    <w:rsid w:val="005C7DFA"/>
    <w:rsid w:val="005D012C"/>
    <w:rsid w:val="005D143F"/>
    <w:rsid w:val="005D31D0"/>
    <w:rsid w:val="005D5DCB"/>
    <w:rsid w:val="005D6D43"/>
    <w:rsid w:val="005E0BA2"/>
    <w:rsid w:val="005E23B8"/>
    <w:rsid w:val="005E2F0C"/>
    <w:rsid w:val="005E41EA"/>
    <w:rsid w:val="005E4BF5"/>
    <w:rsid w:val="005E4DE3"/>
    <w:rsid w:val="005E61BC"/>
    <w:rsid w:val="005E7AC4"/>
    <w:rsid w:val="005F0649"/>
    <w:rsid w:val="005F0BA9"/>
    <w:rsid w:val="005F189A"/>
    <w:rsid w:val="005F4B87"/>
    <w:rsid w:val="005F5828"/>
    <w:rsid w:val="005F76FB"/>
    <w:rsid w:val="005F7BE3"/>
    <w:rsid w:val="0060074F"/>
    <w:rsid w:val="00601C03"/>
    <w:rsid w:val="00601F00"/>
    <w:rsid w:val="006021BD"/>
    <w:rsid w:val="006022C8"/>
    <w:rsid w:val="00603177"/>
    <w:rsid w:val="00605234"/>
    <w:rsid w:val="00605BEB"/>
    <w:rsid w:val="0060644C"/>
    <w:rsid w:val="006071DB"/>
    <w:rsid w:val="00607E5C"/>
    <w:rsid w:val="006103C8"/>
    <w:rsid w:val="00610E90"/>
    <w:rsid w:val="006117FD"/>
    <w:rsid w:val="0061258D"/>
    <w:rsid w:val="006158E8"/>
    <w:rsid w:val="006161F3"/>
    <w:rsid w:val="00616BF2"/>
    <w:rsid w:val="00623628"/>
    <w:rsid w:val="00623A93"/>
    <w:rsid w:val="00624D88"/>
    <w:rsid w:val="0062586E"/>
    <w:rsid w:val="00626AE8"/>
    <w:rsid w:val="00626E41"/>
    <w:rsid w:val="00627AF8"/>
    <w:rsid w:val="00630739"/>
    <w:rsid w:val="00630DAF"/>
    <w:rsid w:val="00631C8B"/>
    <w:rsid w:val="00631EC4"/>
    <w:rsid w:val="0063660E"/>
    <w:rsid w:val="00636C1D"/>
    <w:rsid w:val="00637AE0"/>
    <w:rsid w:val="0064048D"/>
    <w:rsid w:val="00640A2E"/>
    <w:rsid w:val="00644735"/>
    <w:rsid w:val="00645556"/>
    <w:rsid w:val="006537DD"/>
    <w:rsid w:val="00653BBB"/>
    <w:rsid w:val="006543CF"/>
    <w:rsid w:val="006569B4"/>
    <w:rsid w:val="006569CD"/>
    <w:rsid w:val="00656E1F"/>
    <w:rsid w:val="00661536"/>
    <w:rsid w:val="0066261D"/>
    <w:rsid w:val="00666159"/>
    <w:rsid w:val="00667161"/>
    <w:rsid w:val="00667F91"/>
    <w:rsid w:val="006720D4"/>
    <w:rsid w:val="00672F7F"/>
    <w:rsid w:val="00673EC4"/>
    <w:rsid w:val="00675F8C"/>
    <w:rsid w:val="00680163"/>
    <w:rsid w:val="00682020"/>
    <w:rsid w:val="0068248D"/>
    <w:rsid w:val="006829D4"/>
    <w:rsid w:val="00683755"/>
    <w:rsid w:val="00683FFF"/>
    <w:rsid w:val="006876BB"/>
    <w:rsid w:val="00687F47"/>
    <w:rsid w:val="00690776"/>
    <w:rsid w:val="00691821"/>
    <w:rsid w:val="00691F44"/>
    <w:rsid w:val="00692BA9"/>
    <w:rsid w:val="00694828"/>
    <w:rsid w:val="00694994"/>
    <w:rsid w:val="00696869"/>
    <w:rsid w:val="00696C6E"/>
    <w:rsid w:val="00696D07"/>
    <w:rsid w:val="006A0279"/>
    <w:rsid w:val="006A29DB"/>
    <w:rsid w:val="006A42A3"/>
    <w:rsid w:val="006A6F4D"/>
    <w:rsid w:val="006A7887"/>
    <w:rsid w:val="006B1156"/>
    <w:rsid w:val="006B3D22"/>
    <w:rsid w:val="006B3FC6"/>
    <w:rsid w:val="006B74DB"/>
    <w:rsid w:val="006B7FA0"/>
    <w:rsid w:val="006C3ADB"/>
    <w:rsid w:val="006C4992"/>
    <w:rsid w:val="006C5760"/>
    <w:rsid w:val="006C5E7C"/>
    <w:rsid w:val="006C6DBE"/>
    <w:rsid w:val="006C7C44"/>
    <w:rsid w:val="006C7C75"/>
    <w:rsid w:val="006C7DDE"/>
    <w:rsid w:val="006D0530"/>
    <w:rsid w:val="006D1022"/>
    <w:rsid w:val="006D10D3"/>
    <w:rsid w:val="006D168D"/>
    <w:rsid w:val="006D2848"/>
    <w:rsid w:val="006D58AC"/>
    <w:rsid w:val="006D6AAC"/>
    <w:rsid w:val="006D7524"/>
    <w:rsid w:val="006D75A1"/>
    <w:rsid w:val="006E24FB"/>
    <w:rsid w:val="006E42FC"/>
    <w:rsid w:val="006E4A9C"/>
    <w:rsid w:val="006E6677"/>
    <w:rsid w:val="006E704B"/>
    <w:rsid w:val="006E7399"/>
    <w:rsid w:val="006E7CB0"/>
    <w:rsid w:val="006F11C3"/>
    <w:rsid w:val="006F2F0F"/>
    <w:rsid w:val="006F3D24"/>
    <w:rsid w:val="006F40F3"/>
    <w:rsid w:val="006F4C3F"/>
    <w:rsid w:val="006F66C2"/>
    <w:rsid w:val="006F7243"/>
    <w:rsid w:val="007014A5"/>
    <w:rsid w:val="00702963"/>
    <w:rsid w:val="00703338"/>
    <w:rsid w:val="00705166"/>
    <w:rsid w:val="00706F83"/>
    <w:rsid w:val="00710837"/>
    <w:rsid w:val="0071084A"/>
    <w:rsid w:val="007113B9"/>
    <w:rsid w:val="00712CF5"/>
    <w:rsid w:val="00713965"/>
    <w:rsid w:val="0071404A"/>
    <w:rsid w:val="0071417E"/>
    <w:rsid w:val="00715397"/>
    <w:rsid w:val="007155EB"/>
    <w:rsid w:val="007155F5"/>
    <w:rsid w:val="00715D64"/>
    <w:rsid w:val="007167E5"/>
    <w:rsid w:val="00716A13"/>
    <w:rsid w:val="00716C91"/>
    <w:rsid w:val="007217AF"/>
    <w:rsid w:val="00722A46"/>
    <w:rsid w:val="00723DFB"/>
    <w:rsid w:val="00723F71"/>
    <w:rsid w:val="00724D73"/>
    <w:rsid w:val="00724EA9"/>
    <w:rsid w:val="007255A3"/>
    <w:rsid w:val="007266F3"/>
    <w:rsid w:val="00726B76"/>
    <w:rsid w:val="00727190"/>
    <w:rsid w:val="00731ACC"/>
    <w:rsid w:val="00732BA4"/>
    <w:rsid w:val="00734761"/>
    <w:rsid w:val="00741954"/>
    <w:rsid w:val="00741A8D"/>
    <w:rsid w:val="00746A87"/>
    <w:rsid w:val="00751AF6"/>
    <w:rsid w:val="00754D91"/>
    <w:rsid w:val="007576DB"/>
    <w:rsid w:val="00757E2B"/>
    <w:rsid w:val="007616B8"/>
    <w:rsid w:val="00771648"/>
    <w:rsid w:val="007719E0"/>
    <w:rsid w:val="00771CB9"/>
    <w:rsid w:val="00773328"/>
    <w:rsid w:val="00774880"/>
    <w:rsid w:val="0077595D"/>
    <w:rsid w:val="00775E7C"/>
    <w:rsid w:val="007821A3"/>
    <w:rsid w:val="00782D24"/>
    <w:rsid w:val="0078351B"/>
    <w:rsid w:val="007853E1"/>
    <w:rsid w:val="007875C1"/>
    <w:rsid w:val="007907ED"/>
    <w:rsid w:val="00793409"/>
    <w:rsid w:val="0079460C"/>
    <w:rsid w:val="00794762"/>
    <w:rsid w:val="00794A05"/>
    <w:rsid w:val="00795206"/>
    <w:rsid w:val="0079587F"/>
    <w:rsid w:val="00797401"/>
    <w:rsid w:val="00797419"/>
    <w:rsid w:val="007A095F"/>
    <w:rsid w:val="007A2A6B"/>
    <w:rsid w:val="007A7382"/>
    <w:rsid w:val="007B19DA"/>
    <w:rsid w:val="007B1A58"/>
    <w:rsid w:val="007B2B0D"/>
    <w:rsid w:val="007B36D6"/>
    <w:rsid w:val="007B512F"/>
    <w:rsid w:val="007B6115"/>
    <w:rsid w:val="007C0107"/>
    <w:rsid w:val="007C0385"/>
    <w:rsid w:val="007C204A"/>
    <w:rsid w:val="007C462D"/>
    <w:rsid w:val="007C4EF1"/>
    <w:rsid w:val="007C51CC"/>
    <w:rsid w:val="007C720B"/>
    <w:rsid w:val="007D217D"/>
    <w:rsid w:val="007D3C33"/>
    <w:rsid w:val="007D4263"/>
    <w:rsid w:val="007D5C26"/>
    <w:rsid w:val="007D76B4"/>
    <w:rsid w:val="007E26BF"/>
    <w:rsid w:val="007E3A30"/>
    <w:rsid w:val="007E4967"/>
    <w:rsid w:val="007E5691"/>
    <w:rsid w:val="007E66F2"/>
    <w:rsid w:val="007E7717"/>
    <w:rsid w:val="007E78BC"/>
    <w:rsid w:val="007F07E4"/>
    <w:rsid w:val="007F19AD"/>
    <w:rsid w:val="007F19F2"/>
    <w:rsid w:val="007F2C69"/>
    <w:rsid w:val="007F46F1"/>
    <w:rsid w:val="007F47B1"/>
    <w:rsid w:val="007F64CC"/>
    <w:rsid w:val="007F6B28"/>
    <w:rsid w:val="008009DF"/>
    <w:rsid w:val="00802AFC"/>
    <w:rsid w:val="0080571F"/>
    <w:rsid w:val="00805ED7"/>
    <w:rsid w:val="00807FD8"/>
    <w:rsid w:val="00810364"/>
    <w:rsid w:val="00811730"/>
    <w:rsid w:val="00816D24"/>
    <w:rsid w:val="00821813"/>
    <w:rsid w:val="008224F1"/>
    <w:rsid w:val="00822F1F"/>
    <w:rsid w:val="008247A7"/>
    <w:rsid w:val="008257FA"/>
    <w:rsid w:val="00826489"/>
    <w:rsid w:val="00830880"/>
    <w:rsid w:val="008319DE"/>
    <w:rsid w:val="00834429"/>
    <w:rsid w:val="00836143"/>
    <w:rsid w:val="00837797"/>
    <w:rsid w:val="008422FC"/>
    <w:rsid w:val="008425EC"/>
    <w:rsid w:val="0084509C"/>
    <w:rsid w:val="00845151"/>
    <w:rsid w:val="00845A54"/>
    <w:rsid w:val="0084652B"/>
    <w:rsid w:val="0084787D"/>
    <w:rsid w:val="008502D9"/>
    <w:rsid w:val="0085251D"/>
    <w:rsid w:val="00854120"/>
    <w:rsid w:val="00855BBD"/>
    <w:rsid w:val="00857134"/>
    <w:rsid w:val="00857F4D"/>
    <w:rsid w:val="008610EE"/>
    <w:rsid w:val="00862FA3"/>
    <w:rsid w:val="008648FA"/>
    <w:rsid w:val="00864A48"/>
    <w:rsid w:val="008657B3"/>
    <w:rsid w:val="00865A5C"/>
    <w:rsid w:val="00870C90"/>
    <w:rsid w:val="0087122A"/>
    <w:rsid w:val="008714BB"/>
    <w:rsid w:val="008720EE"/>
    <w:rsid w:val="00876E46"/>
    <w:rsid w:val="008778DA"/>
    <w:rsid w:val="00880D1D"/>
    <w:rsid w:val="00883016"/>
    <w:rsid w:val="00883334"/>
    <w:rsid w:val="00883340"/>
    <w:rsid w:val="00886EE1"/>
    <w:rsid w:val="008876EF"/>
    <w:rsid w:val="00890929"/>
    <w:rsid w:val="00890D76"/>
    <w:rsid w:val="00890EEB"/>
    <w:rsid w:val="00892282"/>
    <w:rsid w:val="008929B1"/>
    <w:rsid w:val="00893000"/>
    <w:rsid w:val="00893E23"/>
    <w:rsid w:val="00894615"/>
    <w:rsid w:val="008952BC"/>
    <w:rsid w:val="00895CA2"/>
    <w:rsid w:val="00896547"/>
    <w:rsid w:val="008A01D8"/>
    <w:rsid w:val="008A10B2"/>
    <w:rsid w:val="008A2393"/>
    <w:rsid w:val="008A569F"/>
    <w:rsid w:val="008A5B2A"/>
    <w:rsid w:val="008A5F57"/>
    <w:rsid w:val="008B11E7"/>
    <w:rsid w:val="008B2999"/>
    <w:rsid w:val="008B3E2C"/>
    <w:rsid w:val="008B5EE4"/>
    <w:rsid w:val="008B693B"/>
    <w:rsid w:val="008B7CAB"/>
    <w:rsid w:val="008B7EB4"/>
    <w:rsid w:val="008C1EB8"/>
    <w:rsid w:val="008C40C2"/>
    <w:rsid w:val="008C4996"/>
    <w:rsid w:val="008C762A"/>
    <w:rsid w:val="008D3983"/>
    <w:rsid w:val="008D6CEE"/>
    <w:rsid w:val="008E410F"/>
    <w:rsid w:val="008E441E"/>
    <w:rsid w:val="008E7B62"/>
    <w:rsid w:val="008F29CC"/>
    <w:rsid w:val="008F2DD6"/>
    <w:rsid w:val="008F3B6E"/>
    <w:rsid w:val="008F59E6"/>
    <w:rsid w:val="008F65AF"/>
    <w:rsid w:val="008F67A9"/>
    <w:rsid w:val="008F709E"/>
    <w:rsid w:val="008F767C"/>
    <w:rsid w:val="0090156F"/>
    <w:rsid w:val="00901DFA"/>
    <w:rsid w:val="00903BCF"/>
    <w:rsid w:val="009062EB"/>
    <w:rsid w:val="00910BBB"/>
    <w:rsid w:val="00910DD2"/>
    <w:rsid w:val="00910E17"/>
    <w:rsid w:val="00911BEF"/>
    <w:rsid w:val="00911FAC"/>
    <w:rsid w:val="009130F5"/>
    <w:rsid w:val="00914354"/>
    <w:rsid w:val="00914A88"/>
    <w:rsid w:val="009156F3"/>
    <w:rsid w:val="009227D3"/>
    <w:rsid w:val="00932A00"/>
    <w:rsid w:val="0093311B"/>
    <w:rsid w:val="0093556A"/>
    <w:rsid w:val="0093797E"/>
    <w:rsid w:val="00940634"/>
    <w:rsid w:val="00940700"/>
    <w:rsid w:val="009420F0"/>
    <w:rsid w:val="009450CE"/>
    <w:rsid w:val="00945B92"/>
    <w:rsid w:val="00946BF6"/>
    <w:rsid w:val="00946EDE"/>
    <w:rsid w:val="00947040"/>
    <w:rsid w:val="00947DE1"/>
    <w:rsid w:val="009509BA"/>
    <w:rsid w:val="00951C38"/>
    <w:rsid w:val="00952041"/>
    <w:rsid w:val="00952316"/>
    <w:rsid w:val="0095353C"/>
    <w:rsid w:val="0095376D"/>
    <w:rsid w:val="00953F10"/>
    <w:rsid w:val="0095542A"/>
    <w:rsid w:val="00955AA6"/>
    <w:rsid w:val="009578E9"/>
    <w:rsid w:val="0096028F"/>
    <w:rsid w:val="00965A46"/>
    <w:rsid w:val="00965CB4"/>
    <w:rsid w:val="00966AC8"/>
    <w:rsid w:val="00967DFA"/>
    <w:rsid w:val="00970F88"/>
    <w:rsid w:val="00971C1C"/>
    <w:rsid w:val="00972B0F"/>
    <w:rsid w:val="00972D1A"/>
    <w:rsid w:val="00973D7B"/>
    <w:rsid w:val="00975832"/>
    <w:rsid w:val="00975FBF"/>
    <w:rsid w:val="00977686"/>
    <w:rsid w:val="00977856"/>
    <w:rsid w:val="00982178"/>
    <w:rsid w:val="00985BE7"/>
    <w:rsid w:val="00986431"/>
    <w:rsid w:val="00986D13"/>
    <w:rsid w:val="00987F95"/>
    <w:rsid w:val="00990BC1"/>
    <w:rsid w:val="00990CDA"/>
    <w:rsid w:val="009916D3"/>
    <w:rsid w:val="00991CCA"/>
    <w:rsid w:val="00992914"/>
    <w:rsid w:val="00997DE0"/>
    <w:rsid w:val="009A16D0"/>
    <w:rsid w:val="009A2412"/>
    <w:rsid w:val="009A286E"/>
    <w:rsid w:val="009A2DD3"/>
    <w:rsid w:val="009A3168"/>
    <w:rsid w:val="009A3438"/>
    <w:rsid w:val="009A3E7F"/>
    <w:rsid w:val="009A67E0"/>
    <w:rsid w:val="009B0F2E"/>
    <w:rsid w:val="009B1B3F"/>
    <w:rsid w:val="009B3B7A"/>
    <w:rsid w:val="009B46AD"/>
    <w:rsid w:val="009B5B70"/>
    <w:rsid w:val="009C0216"/>
    <w:rsid w:val="009C04E5"/>
    <w:rsid w:val="009C38FF"/>
    <w:rsid w:val="009C5515"/>
    <w:rsid w:val="009C5D0E"/>
    <w:rsid w:val="009C67EA"/>
    <w:rsid w:val="009C6B67"/>
    <w:rsid w:val="009C7827"/>
    <w:rsid w:val="009D0EB4"/>
    <w:rsid w:val="009D38A4"/>
    <w:rsid w:val="009D4A71"/>
    <w:rsid w:val="009D57B8"/>
    <w:rsid w:val="009D5C4F"/>
    <w:rsid w:val="009D76E4"/>
    <w:rsid w:val="009E0870"/>
    <w:rsid w:val="009E09E9"/>
    <w:rsid w:val="009E1963"/>
    <w:rsid w:val="009E23A3"/>
    <w:rsid w:val="009E276F"/>
    <w:rsid w:val="009E3084"/>
    <w:rsid w:val="009E7996"/>
    <w:rsid w:val="009F03E2"/>
    <w:rsid w:val="009F0660"/>
    <w:rsid w:val="009F0F5A"/>
    <w:rsid w:val="009F239A"/>
    <w:rsid w:val="009F254E"/>
    <w:rsid w:val="009F2856"/>
    <w:rsid w:val="009F2FD0"/>
    <w:rsid w:val="009F4368"/>
    <w:rsid w:val="009F4771"/>
    <w:rsid w:val="009F4F7A"/>
    <w:rsid w:val="009F7318"/>
    <w:rsid w:val="009F7AF2"/>
    <w:rsid w:val="00A00520"/>
    <w:rsid w:val="00A00F7D"/>
    <w:rsid w:val="00A03B66"/>
    <w:rsid w:val="00A04891"/>
    <w:rsid w:val="00A05C0B"/>
    <w:rsid w:val="00A068F6"/>
    <w:rsid w:val="00A06C82"/>
    <w:rsid w:val="00A079C9"/>
    <w:rsid w:val="00A10497"/>
    <w:rsid w:val="00A11990"/>
    <w:rsid w:val="00A12C2C"/>
    <w:rsid w:val="00A14499"/>
    <w:rsid w:val="00A14A6B"/>
    <w:rsid w:val="00A16F26"/>
    <w:rsid w:val="00A2063A"/>
    <w:rsid w:val="00A20760"/>
    <w:rsid w:val="00A20907"/>
    <w:rsid w:val="00A20DFB"/>
    <w:rsid w:val="00A21D9D"/>
    <w:rsid w:val="00A222AD"/>
    <w:rsid w:val="00A22572"/>
    <w:rsid w:val="00A23C84"/>
    <w:rsid w:val="00A2504C"/>
    <w:rsid w:val="00A27083"/>
    <w:rsid w:val="00A27683"/>
    <w:rsid w:val="00A27D29"/>
    <w:rsid w:val="00A323F5"/>
    <w:rsid w:val="00A33F8B"/>
    <w:rsid w:val="00A34101"/>
    <w:rsid w:val="00A34E6E"/>
    <w:rsid w:val="00A36930"/>
    <w:rsid w:val="00A3700A"/>
    <w:rsid w:val="00A373D6"/>
    <w:rsid w:val="00A4433C"/>
    <w:rsid w:val="00A44755"/>
    <w:rsid w:val="00A45404"/>
    <w:rsid w:val="00A50BD1"/>
    <w:rsid w:val="00A576FF"/>
    <w:rsid w:val="00A57894"/>
    <w:rsid w:val="00A603DC"/>
    <w:rsid w:val="00A62762"/>
    <w:rsid w:val="00A66664"/>
    <w:rsid w:val="00A66F71"/>
    <w:rsid w:val="00A67605"/>
    <w:rsid w:val="00A67C40"/>
    <w:rsid w:val="00A700B1"/>
    <w:rsid w:val="00A712E0"/>
    <w:rsid w:val="00A72448"/>
    <w:rsid w:val="00A736F2"/>
    <w:rsid w:val="00A7509F"/>
    <w:rsid w:val="00A76DDD"/>
    <w:rsid w:val="00A7772A"/>
    <w:rsid w:val="00A81A8D"/>
    <w:rsid w:val="00A81AF3"/>
    <w:rsid w:val="00A82057"/>
    <w:rsid w:val="00A82AB8"/>
    <w:rsid w:val="00A82F13"/>
    <w:rsid w:val="00A8513C"/>
    <w:rsid w:val="00A8524D"/>
    <w:rsid w:val="00A91826"/>
    <w:rsid w:val="00A91ABB"/>
    <w:rsid w:val="00A92AF1"/>
    <w:rsid w:val="00A92B3A"/>
    <w:rsid w:val="00A93580"/>
    <w:rsid w:val="00A93B2F"/>
    <w:rsid w:val="00A9491F"/>
    <w:rsid w:val="00A94ECE"/>
    <w:rsid w:val="00A96CA3"/>
    <w:rsid w:val="00A96F28"/>
    <w:rsid w:val="00AA0601"/>
    <w:rsid w:val="00AA13F4"/>
    <w:rsid w:val="00AA1708"/>
    <w:rsid w:val="00AA2667"/>
    <w:rsid w:val="00AA26A6"/>
    <w:rsid w:val="00AA2A88"/>
    <w:rsid w:val="00AA2FFD"/>
    <w:rsid w:val="00AA3318"/>
    <w:rsid w:val="00AA3D28"/>
    <w:rsid w:val="00AA5ABF"/>
    <w:rsid w:val="00AA692F"/>
    <w:rsid w:val="00AA73A8"/>
    <w:rsid w:val="00AB146E"/>
    <w:rsid w:val="00AB1ADB"/>
    <w:rsid w:val="00AB226A"/>
    <w:rsid w:val="00AB27E9"/>
    <w:rsid w:val="00AB35E9"/>
    <w:rsid w:val="00AB390E"/>
    <w:rsid w:val="00AB51D2"/>
    <w:rsid w:val="00AB5E4A"/>
    <w:rsid w:val="00AC044C"/>
    <w:rsid w:val="00AC1F20"/>
    <w:rsid w:val="00AC1FE3"/>
    <w:rsid w:val="00AC26EB"/>
    <w:rsid w:val="00AC28EF"/>
    <w:rsid w:val="00AC570E"/>
    <w:rsid w:val="00AC7C5C"/>
    <w:rsid w:val="00AD0163"/>
    <w:rsid w:val="00AD0CB0"/>
    <w:rsid w:val="00AD0E9C"/>
    <w:rsid w:val="00AD69D3"/>
    <w:rsid w:val="00AD783F"/>
    <w:rsid w:val="00AE0D25"/>
    <w:rsid w:val="00AE0F00"/>
    <w:rsid w:val="00AE1036"/>
    <w:rsid w:val="00AE15E3"/>
    <w:rsid w:val="00AE4A54"/>
    <w:rsid w:val="00AE5AC5"/>
    <w:rsid w:val="00AE71A9"/>
    <w:rsid w:val="00AF1AEF"/>
    <w:rsid w:val="00AF1DFE"/>
    <w:rsid w:val="00AF2A3D"/>
    <w:rsid w:val="00AF2EBE"/>
    <w:rsid w:val="00AF528E"/>
    <w:rsid w:val="00AF62DF"/>
    <w:rsid w:val="00AF658C"/>
    <w:rsid w:val="00AF7534"/>
    <w:rsid w:val="00AF7AA4"/>
    <w:rsid w:val="00B002DA"/>
    <w:rsid w:val="00B02CE0"/>
    <w:rsid w:val="00B02D04"/>
    <w:rsid w:val="00B0694C"/>
    <w:rsid w:val="00B07744"/>
    <w:rsid w:val="00B07EB5"/>
    <w:rsid w:val="00B1200B"/>
    <w:rsid w:val="00B12A02"/>
    <w:rsid w:val="00B12D18"/>
    <w:rsid w:val="00B132C9"/>
    <w:rsid w:val="00B161E6"/>
    <w:rsid w:val="00B16562"/>
    <w:rsid w:val="00B17E91"/>
    <w:rsid w:val="00B211CE"/>
    <w:rsid w:val="00B21862"/>
    <w:rsid w:val="00B24306"/>
    <w:rsid w:val="00B24C5E"/>
    <w:rsid w:val="00B26632"/>
    <w:rsid w:val="00B2721D"/>
    <w:rsid w:val="00B306DE"/>
    <w:rsid w:val="00B312A2"/>
    <w:rsid w:val="00B41A62"/>
    <w:rsid w:val="00B431BA"/>
    <w:rsid w:val="00B4392D"/>
    <w:rsid w:val="00B46B08"/>
    <w:rsid w:val="00B512F0"/>
    <w:rsid w:val="00B515F9"/>
    <w:rsid w:val="00B52898"/>
    <w:rsid w:val="00B5316B"/>
    <w:rsid w:val="00B54207"/>
    <w:rsid w:val="00B552A3"/>
    <w:rsid w:val="00B55DAE"/>
    <w:rsid w:val="00B622A6"/>
    <w:rsid w:val="00B63313"/>
    <w:rsid w:val="00B639C3"/>
    <w:rsid w:val="00B64195"/>
    <w:rsid w:val="00B64232"/>
    <w:rsid w:val="00B65530"/>
    <w:rsid w:val="00B6584F"/>
    <w:rsid w:val="00B65D72"/>
    <w:rsid w:val="00B66066"/>
    <w:rsid w:val="00B66C0B"/>
    <w:rsid w:val="00B67870"/>
    <w:rsid w:val="00B7167B"/>
    <w:rsid w:val="00B7185B"/>
    <w:rsid w:val="00B75622"/>
    <w:rsid w:val="00B75BE2"/>
    <w:rsid w:val="00B772BC"/>
    <w:rsid w:val="00B80925"/>
    <w:rsid w:val="00B8195F"/>
    <w:rsid w:val="00B83E0E"/>
    <w:rsid w:val="00B8679E"/>
    <w:rsid w:val="00B871AA"/>
    <w:rsid w:val="00B87BDA"/>
    <w:rsid w:val="00B87DA9"/>
    <w:rsid w:val="00B92410"/>
    <w:rsid w:val="00B92831"/>
    <w:rsid w:val="00B92F1F"/>
    <w:rsid w:val="00B93884"/>
    <w:rsid w:val="00B9397D"/>
    <w:rsid w:val="00B94D19"/>
    <w:rsid w:val="00B96374"/>
    <w:rsid w:val="00BA0576"/>
    <w:rsid w:val="00BA14DA"/>
    <w:rsid w:val="00BA190E"/>
    <w:rsid w:val="00BA1B00"/>
    <w:rsid w:val="00BA29AC"/>
    <w:rsid w:val="00BA2C87"/>
    <w:rsid w:val="00BA3AEC"/>
    <w:rsid w:val="00BA48DA"/>
    <w:rsid w:val="00BA767D"/>
    <w:rsid w:val="00BA7EC0"/>
    <w:rsid w:val="00BB0766"/>
    <w:rsid w:val="00BB0893"/>
    <w:rsid w:val="00BB1222"/>
    <w:rsid w:val="00BB18D2"/>
    <w:rsid w:val="00BB33F0"/>
    <w:rsid w:val="00BB6B7B"/>
    <w:rsid w:val="00BB6C88"/>
    <w:rsid w:val="00BB7EA8"/>
    <w:rsid w:val="00BC1266"/>
    <w:rsid w:val="00BC1DA2"/>
    <w:rsid w:val="00BC28CD"/>
    <w:rsid w:val="00BC4B84"/>
    <w:rsid w:val="00BC5490"/>
    <w:rsid w:val="00BC62B5"/>
    <w:rsid w:val="00BC65E6"/>
    <w:rsid w:val="00BD026D"/>
    <w:rsid w:val="00BD0B5F"/>
    <w:rsid w:val="00BD106C"/>
    <w:rsid w:val="00BD708A"/>
    <w:rsid w:val="00BD7CC0"/>
    <w:rsid w:val="00BE4014"/>
    <w:rsid w:val="00BE481E"/>
    <w:rsid w:val="00BE573B"/>
    <w:rsid w:val="00BE67AB"/>
    <w:rsid w:val="00BE6B9D"/>
    <w:rsid w:val="00BE7644"/>
    <w:rsid w:val="00BF3FC5"/>
    <w:rsid w:val="00BF64D7"/>
    <w:rsid w:val="00BF6579"/>
    <w:rsid w:val="00BF7EC8"/>
    <w:rsid w:val="00C00F63"/>
    <w:rsid w:val="00C01B85"/>
    <w:rsid w:val="00C05A0E"/>
    <w:rsid w:val="00C16C88"/>
    <w:rsid w:val="00C17058"/>
    <w:rsid w:val="00C17B17"/>
    <w:rsid w:val="00C25014"/>
    <w:rsid w:val="00C25D19"/>
    <w:rsid w:val="00C26619"/>
    <w:rsid w:val="00C274CD"/>
    <w:rsid w:val="00C27A48"/>
    <w:rsid w:val="00C303B8"/>
    <w:rsid w:val="00C33633"/>
    <w:rsid w:val="00C33820"/>
    <w:rsid w:val="00C33DF9"/>
    <w:rsid w:val="00C34ABE"/>
    <w:rsid w:val="00C360B3"/>
    <w:rsid w:val="00C3614A"/>
    <w:rsid w:val="00C37717"/>
    <w:rsid w:val="00C40144"/>
    <w:rsid w:val="00C40F10"/>
    <w:rsid w:val="00C4179A"/>
    <w:rsid w:val="00C41839"/>
    <w:rsid w:val="00C4338E"/>
    <w:rsid w:val="00C4450E"/>
    <w:rsid w:val="00C46674"/>
    <w:rsid w:val="00C47559"/>
    <w:rsid w:val="00C506B8"/>
    <w:rsid w:val="00C518E3"/>
    <w:rsid w:val="00C52347"/>
    <w:rsid w:val="00C53DB4"/>
    <w:rsid w:val="00C5510D"/>
    <w:rsid w:val="00C551E9"/>
    <w:rsid w:val="00C55D0E"/>
    <w:rsid w:val="00C56ED2"/>
    <w:rsid w:val="00C611E6"/>
    <w:rsid w:val="00C627A7"/>
    <w:rsid w:val="00C67433"/>
    <w:rsid w:val="00C67A1F"/>
    <w:rsid w:val="00C70B23"/>
    <w:rsid w:val="00C70FAD"/>
    <w:rsid w:val="00C75BD5"/>
    <w:rsid w:val="00C76612"/>
    <w:rsid w:val="00C813C4"/>
    <w:rsid w:val="00C81580"/>
    <w:rsid w:val="00C819E9"/>
    <w:rsid w:val="00C824B6"/>
    <w:rsid w:val="00C84B29"/>
    <w:rsid w:val="00C858B4"/>
    <w:rsid w:val="00C860CE"/>
    <w:rsid w:val="00C86A08"/>
    <w:rsid w:val="00C87B61"/>
    <w:rsid w:val="00C9066F"/>
    <w:rsid w:val="00C9072C"/>
    <w:rsid w:val="00C907D4"/>
    <w:rsid w:val="00C90CF5"/>
    <w:rsid w:val="00C91430"/>
    <w:rsid w:val="00C917F1"/>
    <w:rsid w:val="00C92EDD"/>
    <w:rsid w:val="00C92F63"/>
    <w:rsid w:val="00C93884"/>
    <w:rsid w:val="00C938DA"/>
    <w:rsid w:val="00C94BFB"/>
    <w:rsid w:val="00C952A4"/>
    <w:rsid w:val="00C95FB3"/>
    <w:rsid w:val="00C96DD6"/>
    <w:rsid w:val="00C9754A"/>
    <w:rsid w:val="00CA06FB"/>
    <w:rsid w:val="00CA3F74"/>
    <w:rsid w:val="00CA7CED"/>
    <w:rsid w:val="00CB031F"/>
    <w:rsid w:val="00CB1347"/>
    <w:rsid w:val="00CB1EAA"/>
    <w:rsid w:val="00CB21FF"/>
    <w:rsid w:val="00CB224B"/>
    <w:rsid w:val="00CB2DAB"/>
    <w:rsid w:val="00CB406F"/>
    <w:rsid w:val="00CB7D1A"/>
    <w:rsid w:val="00CB7E06"/>
    <w:rsid w:val="00CC05A7"/>
    <w:rsid w:val="00CC0E4A"/>
    <w:rsid w:val="00CC230A"/>
    <w:rsid w:val="00CC4729"/>
    <w:rsid w:val="00CC4C3A"/>
    <w:rsid w:val="00CC4CA7"/>
    <w:rsid w:val="00CC5773"/>
    <w:rsid w:val="00CC6C8E"/>
    <w:rsid w:val="00CC7196"/>
    <w:rsid w:val="00CD06FD"/>
    <w:rsid w:val="00CD235C"/>
    <w:rsid w:val="00CD69A4"/>
    <w:rsid w:val="00CE0779"/>
    <w:rsid w:val="00CE0E02"/>
    <w:rsid w:val="00CE12AA"/>
    <w:rsid w:val="00CE1E4B"/>
    <w:rsid w:val="00CE2784"/>
    <w:rsid w:val="00CE2DF2"/>
    <w:rsid w:val="00CE30C9"/>
    <w:rsid w:val="00CE4B27"/>
    <w:rsid w:val="00CF235F"/>
    <w:rsid w:val="00CF2DC9"/>
    <w:rsid w:val="00CF3370"/>
    <w:rsid w:val="00CF3D5D"/>
    <w:rsid w:val="00CF407D"/>
    <w:rsid w:val="00CF514E"/>
    <w:rsid w:val="00D022FE"/>
    <w:rsid w:val="00D03249"/>
    <w:rsid w:val="00D03E89"/>
    <w:rsid w:val="00D048BA"/>
    <w:rsid w:val="00D05BC5"/>
    <w:rsid w:val="00D05C94"/>
    <w:rsid w:val="00D07994"/>
    <w:rsid w:val="00D1068B"/>
    <w:rsid w:val="00D10F1F"/>
    <w:rsid w:val="00D110ED"/>
    <w:rsid w:val="00D14410"/>
    <w:rsid w:val="00D153A4"/>
    <w:rsid w:val="00D20273"/>
    <w:rsid w:val="00D211AA"/>
    <w:rsid w:val="00D23668"/>
    <w:rsid w:val="00D263CD"/>
    <w:rsid w:val="00D27D6B"/>
    <w:rsid w:val="00D30C69"/>
    <w:rsid w:val="00D37E4D"/>
    <w:rsid w:val="00D40EF9"/>
    <w:rsid w:val="00D41454"/>
    <w:rsid w:val="00D414D4"/>
    <w:rsid w:val="00D41990"/>
    <w:rsid w:val="00D42DFD"/>
    <w:rsid w:val="00D43F73"/>
    <w:rsid w:val="00D44662"/>
    <w:rsid w:val="00D44927"/>
    <w:rsid w:val="00D44CA4"/>
    <w:rsid w:val="00D458D1"/>
    <w:rsid w:val="00D459CF"/>
    <w:rsid w:val="00D478CB"/>
    <w:rsid w:val="00D5205E"/>
    <w:rsid w:val="00D52615"/>
    <w:rsid w:val="00D53A6A"/>
    <w:rsid w:val="00D5543E"/>
    <w:rsid w:val="00D55B55"/>
    <w:rsid w:val="00D56391"/>
    <w:rsid w:val="00D568BC"/>
    <w:rsid w:val="00D574C8"/>
    <w:rsid w:val="00D62D83"/>
    <w:rsid w:val="00D63680"/>
    <w:rsid w:val="00D6500E"/>
    <w:rsid w:val="00D654FD"/>
    <w:rsid w:val="00D66393"/>
    <w:rsid w:val="00D66961"/>
    <w:rsid w:val="00D66CAF"/>
    <w:rsid w:val="00D66DAF"/>
    <w:rsid w:val="00D67F3E"/>
    <w:rsid w:val="00D67FBE"/>
    <w:rsid w:val="00D72EC2"/>
    <w:rsid w:val="00D73D32"/>
    <w:rsid w:val="00D75FAC"/>
    <w:rsid w:val="00D7668B"/>
    <w:rsid w:val="00D77722"/>
    <w:rsid w:val="00D80A61"/>
    <w:rsid w:val="00D822C5"/>
    <w:rsid w:val="00D83EC5"/>
    <w:rsid w:val="00D846BF"/>
    <w:rsid w:val="00D84C21"/>
    <w:rsid w:val="00D855E2"/>
    <w:rsid w:val="00D90631"/>
    <w:rsid w:val="00D9331D"/>
    <w:rsid w:val="00D93B27"/>
    <w:rsid w:val="00D9401F"/>
    <w:rsid w:val="00D94359"/>
    <w:rsid w:val="00D960E3"/>
    <w:rsid w:val="00D973F5"/>
    <w:rsid w:val="00DA2235"/>
    <w:rsid w:val="00DA26A1"/>
    <w:rsid w:val="00DA270D"/>
    <w:rsid w:val="00DA54D1"/>
    <w:rsid w:val="00DA5B6D"/>
    <w:rsid w:val="00DB2C66"/>
    <w:rsid w:val="00DB3CF5"/>
    <w:rsid w:val="00DB69BC"/>
    <w:rsid w:val="00DC0147"/>
    <w:rsid w:val="00DC1A87"/>
    <w:rsid w:val="00DC1BEE"/>
    <w:rsid w:val="00DC2031"/>
    <w:rsid w:val="00DC35F9"/>
    <w:rsid w:val="00DC4FDF"/>
    <w:rsid w:val="00DC5658"/>
    <w:rsid w:val="00DC7B67"/>
    <w:rsid w:val="00DD142A"/>
    <w:rsid w:val="00DD3269"/>
    <w:rsid w:val="00DD3630"/>
    <w:rsid w:val="00DD47AE"/>
    <w:rsid w:val="00DD6531"/>
    <w:rsid w:val="00DD7202"/>
    <w:rsid w:val="00DD9D4C"/>
    <w:rsid w:val="00DE0A40"/>
    <w:rsid w:val="00DE30F7"/>
    <w:rsid w:val="00DE39CF"/>
    <w:rsid w:val="00DE476B"/>
    <w:rsid w:val="00DE50D8"/>
    <w:rsid w:val="00DE5E19"/>
    <w:rsid w:val="00DE78CB"/>
    <w:rsid w:val="00DE7BEC"/>
    <w:rsid w:val="00DE7E26"/>
    <w:rsid w:val="00DF077D"/>
    <w:rsid w:val="00DF0D35"/>
    <w:rsid w:val="00DF18B6"/>
    <w:rsid w:val="00DF320F"/>
    <w:rsid w:val="00DF3F46"/>
    <w:rsid w:val="00DF4AA6"/>
    <w:rsid w:val="00DF4B76"/>
    <w:rsid w:val="00DF60D2"/>
    <w:rsid w:val="00DF67D6"/>
    <w:rsid w:val="00DF6EF1"/>
    <w:rsid w:val="00E03C1A"/>
    <w:rsid w:val="00E06CE6"/>
    <w:rsid w:val="00E1203A"/>
    <w:rsid w:val="00E13371"/>
    <w:rsid w:val="00E14954"/>
    <w:rsid w:val="00E15C7D"/>
    <w:rsid w:val="00E16101"/>
    <w:rsid w:val="00E20AF8"/>
    <w:rsid w:val="00E22A91"/>
    <w:rsid w:val="00E244A1"/>
    <w:rsid w:val="00E266F5"/>
    <w:rsid w:val="00E27929"/>
    <w:rsid w:val="00E30AEA"/>
    <w:rsid w:val="00E313BC"/>
    <w:rsid w:val="00E319EA"/>
    <w:rsid w:val="00E323DF"/>
    <w:rsid w:val="00E34047"/>
    <w:rsid w:val="00E3654E"/>
    <w:rsid w:val="00E404C3"/>
    <w:rsid w:val="00E40D66"/>
    <w:rsid w:val="00E4318E"/>
    <w:rsid w:val="00E43D43"/>
    <w:rsid w:val="00E45722"/>
    <w:rsid w:val="00E46D51"/>
    <w:rsid w:val="00E4792F"/>
    <w:rsid w:val="00E506DC"/>
    <w:rsid w:val="00E52678"/>
    <w:rsid w:val="00E54166"/>
    <w:rsid w:val="00E54F37"/>
    <w:rsid w:val="00E61AE1"/>
    <w:rsid w:val="00E61C45"/>
    <w:rsid w:val="00E6323A"/>
    <w:rsid w:val="00E65FAA"/>
    <w:rsid w:val="00E66F03"/>
    <w:rsid w:val="00E6751E"/>
    <w:rsid w:val="00E67B00"/>
    <w:rsid w:val="00E67DD1"/>
    <w:rsid w:val="00E70440"/>
    <w:rsid w:val="00E7082F"/>
    <w:rsid w:val="00E72A93"/>
    <w:rsid w:val="00E738EF"/>
    <w:rsid w:val="00E74CF8"/>
    <w:rsid w:val="00E75B1B"/>
    <w:rsid w:val="00E75E60"/>
    <w:rsid w:val="00E8025A"/>
    <w:rsid w:val="00E80822"/>
    <w:rsid w:val="00E84B9E"/>
    <w:rsid w:val="00E85467"/>
    <w:rsid w:val="00E870BD"/>
    <w:rsid w:val="00E90354"/>
    <w:rsid w:val="00E918CC"/>
    <w:rsid w:val="00E93652"/>
    <w:rsid w:val="00E93CBB"/>
    <w:rsid w:val="00E93F88"/>
    <w:rsid w:val="00E94323"/>
    <w:rsid w:val="00E94991"/>
    <w:rsid w:val="00E9499F"/>
    <w:rsid w:val="00E94E55"/>
    <w:rsid w:val="00E9504E"/>
    <w:rsid w:val="00E967FB"/>
    <w:rsid w:val="00EA156E"/>
    <w:rsid w:val="00EA28FD"/>
    <w:rsid w:val="00EA29AB"/>
    <w:rsid w:val="00EA3011"/>
    <w:rsid w:val="00EA41A7"/>
    <w:rsid w:val="00EA49D9"/>
    <w:rsid w:val="00EA7F75"/>
    <w:rsid w:val="00EB076E"/>
    <w:rsid w:val="00EB1081"/>
    <w:rsid w:val="00EB2475"/>
    <w:rsid w:val="00EB2696"/>
    <w:rsid w:val="00EB4F91"/>
    <w:rsid w:val="00EB6247"/>
    <w:rsid w:val="00EB794A"/>
    <w:rsid w:val="00EC1A25"/>
    <w:rsid w:val="00EC5FF1"/>
    <w:rsid w:val="00EC6879"/>
    <w:rsid w:val="00EC73EE"/>
    <w:rsid w:val="00ED0839"/>
    <w:rsid w:val="00ED11D8"/>
    <w:rsid w:val="00ED2848"/>
    <w:rsid w:val="00ED4C2F"/>
    <w:rsid w:val="00ED4F4C"/>
    <w:rsid w:val="00ED6256"/>
    <w:rsid w:val="00ED6976"/>
    <w:rsid w:val="00EE1485"/>
    <w:rsid w:val="00EE1C04"/>
    <w:rsid w:val="00EE1D54"/>
    <w:rsid w:val="00EE6EF7"/>
    <w:rsid w:val="00EE74AD"/>
    <w:rsid w:val="00EF042D"/>
    <w:rsid w:val="00EF313E"/>
    <w:rsid w:val="00EF3B41"/>
    <w:rsid w:val="00EF3FA2"/>
    <w:rsid w:val="00EF4622"/>
    <w:rsid w:val="00EF4A93"/>
    <w:rsid w:val="00EF6807"/>
    <w:rsid w:val="00F01A77"/>
    <w:rsid w:val="00F05059"/>
    <w:rsid w:val="00F136A3"/>
    <w:rsid w:val="00F139F2"/>
    <w:rsid w:val="00F14ECF"/>
    <w:rsid w:val="00F17FAA"/>
    <w:rsid w:val="00F236F1"/>
    <w:rsid w:val="00F23B12"/>
    <w:rsid w:val="00F24CFA"/>
    <w:rsid w:val="00F2625F"/>
    <w:rsid w:val="00F26526"/>
    <w:rsid w:val="00F308A4"/>
    <w:rsid w:val="00F31135"/>
    <w:rsid w:val="00F31765"/>
    <w:rsid w:val="00F31EE2"/>
    <w:rsid w:val="00F33B8D"/>
    <w:rsid w:val="00F3640E"/>
    <w:rsid w:val="00F3739A"/>
    <w:rsid w:val="00F421C5"/>
    <w:rsid w:val="00F4493B"/>
    <w:rsid w:val="00F454AB"/>
    <w:rsid w:val="00F4581D"/>
    <w:rsid w:val="00F51C8A"/>
    <w:rsid w:val="00F53577"/>
    <w:rsid w:val="00F53B35"/>
    <w:rsid w:val="00F55D47"/>
    <w:rsid w:val="00F64F52"/>
    <w:rsid w:val="00F65553"/>
    <w:rsid w:val="00F65F06"/>
    <w:rsid w:val="00F661AC"/>
    <w:rsid w:val="00F6656E"/>
    <w:rsid w:val="00F71D37"/>
    <w:rsid w:val="00F71DD2"/>
    <w:rsid w:val="00F72E88"/>
    <w:rsid w:val="00F74C9C"/>
    <w:rsid w:val="00F74FDE"/>
    <w:rsid w:val="00F75B00"/>
    <w:rsid w:val="00F76500"/>
    <w:rsid w:val="00F769D3"/>
    <w:rsid w:val="00F76B4D"/>
    <w:rsid w:val="00F77784"/>
    <w:rsid w:val="00F805A4"/>
    <w:rsid w:val="00F80749"/>
    <w:rsid w:val="00F80889"/>
    <w:rsid w:val="00F80D80"/>
    <w:rsid w:val="00F82D92"/>
    <w:rsid w:val="00F83CF8"/>
    <w:rsid w:val="00F840B9"/>
    <w:rsid w:val="00F84152"/>
    <w:rsid w:val="00F8511B"/>
    <w:rsid w:val="00F86358"/>
    <w:rsid w:val="00F863CF"/>
    <w:rsid w:val="00F86A93"/>
    <w:rsid w:val="00F87823"/>
    <w:rsid w:val="00F87915"/>
    <w:rsid w:val="00F87F86"/>
    <w:rsid w:val="00F90051"/>
    <w:rsid w:val="00F912C0"/>
    <w:rsid w:val="00F93A94"/>
    <w:rsid w:val="00F94B95"/>
    <w:rsid w:val="00F9518B"/>
    <w:rsid w:val="00F95FF2"/>
    <w:rsid w:val="00F97A23"/>
    <w:rsid w:val="00FA137A"/>
    <w:rsid w:val="00FA316F"/>
    <w:rsid w:val="00FA3B61"/>
    <w:rsid w:val="00FA4920"/>
    <w:rsid w:val="00FA5932"/>
    <w:rsid w:val="00FA6295"/>
    <w:rsid w:val="00FA65AF"/>
    <w:rsid w:val="00FB0420"/>
    <w:rsid w:val="00FB15DD"/>
    <w:rsid w:val="00FB336B"/>
    <w:rsid w:val="00FB35AD"/>
    <w:rsid w:val="00FB3FB9"/>
    <w:rsid w:val="00FB68CA"/>
    <w:rsid w:val="00FB7521"/>
    <w:rsid w:val="00FB7AE5"/>
    <w:rsid w:val="00FB7EAD"/>
    <w:rsid w:val="00FC0BE6"/>
    <w:rsid w:val="00FC1942"/>
    <w:rsid w:val="00FC1D1E"/>
    <w:rsid w:val="00FC3FA7"/>
    <w:rsid w:val="00FC4C96"/>
    <w:rsid w:val="00FC67FA"/>
    <w:rsid w:val="00FC69C4"/>
    <w:rsid w:val="00FC7DE6"/>
    <w:rsid w:val="00FC7E86"/>
    <w:rsid w:val="00FD08F8"/>
    <w:rsid w:val="00FD0BC2"/>
    <w:rsid w:val="00FD0FB4"/>
    <w:rsid w:val="00FD1F5F"/>
    <w:rsid w:val="00FD31C3"/>
    <w:rsid w:val="00FD3219"/>
    <w:rsid w:val="00FD3F20"/>
    <w:rsid w:val="00FD5E88"/>
    <w:rsid w:val="00FD5F68"/>
    <w:rsid w:val="00FD6351"/>
    <w:rsid w:val="00FE004D"/>
    <w:rsid w:val="00FE2334"/>
    <w:rsid w:val="00FE33C9"/>
    <w:rsid w:val="00FE3B8E"/>
    <w:rsid w:val="00FE3E0D"/>
    <w:rsid w:val="00FE5848"/>
    <w:rsid w:val="00FE68AE"/>
    <w:rsid w:val="00FF03D6"/>
    <w:rsid w:val="00FF5EFB"/>
    <w:rsid w:val="00FF6BD1"/>
    <w:rsid w:val="011BDD90"/>
    <w:rsid w:val="0126E863"/>
    <w:rsid w:val="0150C334"/>
    <w:rsid w:val="01EF5D50"/>
    <w:rsid w:val="01F49FC7"/>
    <w:rsid w:val="01F79C31"/>
    <w:rsid w:val="01F918CD"/>
    <w:rsid w:val="02011B09"/>
    <w:rsid w:val="0202F04A"/>
    <w:rsid w:val="02350E36"/>
    <w:rsid w:val="025231A7"/>
    <w:rsid w:val="029F4219"/>
    <w:rsid w:val="02A06358"/>
    <w:rsid w:val="02B58894"/>
    <w:rsid w:val="02BDC25D"/>
    <w:rsid w:val="03014BBA"/>
    <w:rsid w:val="03078941"/>
    <w:rsid w:val="0333973D"/>
    <w:rsid w:val="03342E1F"/>
    <w:rsid w:val="039028CB"/>
    <w:rsid w:val="048D13B3"/>
    <w:rsid w:val="049D1C1B"/>
    <w:rsid w:val="05064B1C"/>
    <w:rsid w:val="0591FEFD"/>
    <w:rsid w:val="05A64DE8"/>
    <w:rsid w:val="05BCBAB1"/>
    <w:rsid w:val="05D6E2DB"/>
    <w:rsid w:val="05F3417C"/>
    <w:rsid w:val="0629B527"/>
    <w:rsid w:val="0638EC7C"/>
    <w:rsid w:val="0772B33C"/>
    <w:rsid w:val="07987372"/>
    <w:rsid w:val="07A9E0A7"/>
    <w:rsid w:val="083AAD2A"/>
    <w:rsid w:val="08767DCA"/>
    <w:rsid w:val="08A278DB"/>
    <w:rsid w:val="090E839D"/>
    <w:rsid w:val="0914A9C0"/>
    <w:rsid w:val="091EE3F3"/>
    <w:rsid w:val="095971B8"/>
    <w:rsid w:val="0965EB1A"/>
    <w:rsid w:val="099B2C30"/>
    <w:rsid w:val="0A386027"/>
    <w:rsid w:val="0A7E8B16"/>
    <w:rsid w:val="0AF87B5F"/>
    <w:rsid w:val="0B06FC13"/>
    <w:rsid w:val="0B1A88AC"/>
    <w:rsid w:val="0B52BC0F"/>
    <w:rsid w:val="0B85561A"/>
    <w:rsid w:val="0C1C20B7"/>
    <w:rsid w:val="0C287E20"/>
    <w:rsid w:val="0C461036"/>
    <w:rsid w:val="0C498EA0"/>
    <w:rsid w:val="0C9CF4A0"/>
    <w:rsid w:val="0CB0E5D2"/>
    <w:rsid w:val="0D15AEBA"/>
    <w:rsid w:val="0D164BE1"/>
    <w:rsid w:val="0D1FED89"/>
    <w:rsid w:val="0D265E5B"/>
    <w:rsid w:val="0DC86F65"/>
    <w:rsid w:val="0DE5BDFE"/>
    <w:rsid w:val="0DFBCA8A"/>
    <w:rsid w:val="0E56E383"/>
    <w:rsid w:val="0F354E8A"/>
    <w:rsid w:val="0F3F0FB5"/>
    <w:rsid w:val="0F66A095"/>
    <w:rsid w:val="0F6EEE03"/>
    <w:rsid w:val="0FF4F9C1"/>
    <w:rsid w:val="1010E9FD"/>
    <w:rsid w:val="1021A013"/>
    <w:rsid w:val="102F4A01"/>
    <w:rsid w:val="10DA3603"/>
    <w:rsid w:val="11593546"/>
    <w:rsid w:val="11BE838C"/>
    <w:rsid w:val="11FAEA7B"/>
    <w:rsid w:val="1227DBA1"/>
    <w:rsid w:val="12332133"/>
    <w:rsid w:val="126398F0"/>
    <w:rsid w:val="1270DFB9"/>
    <w:rsid w:val="1284C4FB"/>
    <w:rsid w:val="12A57EA4"/>
    <w:rsid w:val="12BDF0BA"/>
    <w:rsid w:val="13039D5D"/>
    <w:rsid w:val="1346D2F0"/>
    <w:rsid w:val="13CDA7FF"/>
    <w:rsid w:val="144E77DA"/>
    <w:rsid w:val="1474E7C2"/>
    <w:rsid w:val="15136016"/>
    <w:rsid w:val="157E3F57"/>
    <w:rsid w:val="1590E66B"/>
    <w:rsid w:val="15E28818"/>
    <w:rsid w:val="15EA483B"/>
    <w:rsid w:val="161F2A38"/>
    <w:rsid w:val="162CA669"/>
    <w:rsid w:val="1656FDCC"/>
    <w:rsid w:val="16E06951"/>
    <w:rsid w:val="16F0C2F8"/>
    <w:rsid w:val="17448C1A"/>
    <w:rsid w:val="17BD2888"/>
    <w:rsid w:val="17E7C54A"/>
    <w:rsid w:val="186D4799"/>
    <w:rsid w:val="1899D637"/>
    <w:rsid w:val="18CA3FEA"/>
    <w:rsid w:val="197DE6CE"/>
    <w:rsid w:val="1A442FDB"/>
    <w:rsid w:val="1A550A8A"/>
    <w:rsid w:val="1B2BC27A"/>
    <w:rsid w:val="1B3EB11C"/>
    <w:rsid w:val="1B52EF53"/>
    <w:rsid w:val="1B8CF4AB"/>
    <w:rsid w:val="1BB653BC"/>
    <w:rsid w:val="1BE9F4BB"/>
    <w:rsid w:val="1C0E7368"/>
    <w:rsid w:val="1C3AD664"/>
    <w:rsid w:val="1C3B3811"/>
    <w:rsid w:val="1C500430"/>
    <w:rsid w:val="1C927A41"/>
    <w:rsid w:val="1C98BBAF"/>
    <w:rsid w:val="1CB863D7"/>
    <w:rsid w:val="1CF72D4E"/>
    <w:rsid w:val="1D36E2BF"/>
    <w:rsid w:val="1DE52EC5"/>
    <w:rsid w:val="1E35C010"/>
    <w:rsid w:val="1EC1E4BA"/>
    <w:rsid w:val="1ED8AF37"/>
    <w:rsid w:val="1F03D9E4"/>
    <w:rsid w:val="1F27EF2C"/>
    <w:rsid w:val="1F298B74"/>
    <w:rsid w:val="1FD05C71"/>
    <w:rsid w:val="20AA94C0"/>
    <w:rsid w:val="20C3BF8D"/>
    <w:rsid w:val="21292641"/>
    <w:rsid w:val="217E690E"/>
    <w:rsid w:val="220CE9FD"/>
    <w:rsid w:val="221DC06D"/>
    <w:rsid w:val="223D0D1A"/>
    <w:rsid w:val="227C1D1B"/>
    <w:rsid w:val="2306D382"/>
    <w:rsid w:val="234E9A3E"/>
    <w:rsid w:val="23907D90"/>
    <w:rsid w:val="23E5C407"/>
    <w:rsid w:val="23FC83EC"/>
    <w:rsid w:val="242B28A8"/>
    <w:rsid w:val="24CEA737"/>
    <w:rsid w:val="24E85361"/>
    <w:rsid w:val="2545BDE2"/>
    <w:rsid w:val="25819468"/>
    <w:rsid w:val="2608C6E0"/>
    <w:rsid w:val="26229D5F"/>
    <w:rsid w:val="26406A4F"/>
    <w:rsid w:val="26735F1D"/>
    <w:rsid w:val="26B93F51"/>
    <w:rsid w:val="274842E7"/>
    <w:rsid w:val="278EB0D7"/>
    <w:rsid w:val="2797AC06"/>
    <w:rsid w:val="28385646"/>
    <w:rsid w:val="288F24EA"/>
    <w:rsid w:val="28DC271C"/>
    <w:rsid w:val="28FF4F96"/>
    <w:rsid w:val="2945DEEA"/>
    <w:rsid w:val="295E4B70"/>
    <w:rsid w:val="29CDDDFF"/>
    <w:rsid w:val="2A2BAC3C"/>
    <w:rsid w:val="2A9A8213"/>
    <w:rsid w:val="2B3BBBB5"/>
    <w:rsid w:val="2B3EE2BA"/>
    <w:rsid w:val="2BA608C6"/>
    <w:rsid w:val="2C2D50FD"/>
    <w:rsid w:val="2C6C7F5C"/>
    <w:rsid w:val="2CE26E8B"/>
    <w:rsid w:val="2D3C58FA"/>
    <w:rsid w:val="2D8CA64D"/>
    <w:rsid w:val="2D8DF5B1"/>
    <w:rsid w:val="2DE93F63"/>
    <w:rsid w:val="2DF9802F"/>
    <w:rsid w:val="2E0AAB91"/>
    <w:rsid w:val="2E1EF215"/>
    <w:rsid w:val="2E2E5B82"/>
    <w:rsid w:val="2E457221"/>
    <w:rsid w:val="2E474B41"/>
    <w:rsid w:val="2E683E2C"/>
    <w:rsid w:val="2EC11CFB"/>
    <w:rsid w:val="2F2F62DC"/>
    <w:rsid w:val="2F561EE8"/>
    <w:rsid w:val="2F65E509"/>
    <w:rsid w:val="2F955090"/>
    <w:rsid w:val="2FBC0BAE"/>
    <w:rsid w:val="2FBD437E"/>
    <w:rsid w:val="30021554"/>
    <w:rsid w:val="30331829"/>
    <w:rsid w:val="305EFEDC"/>
    <w:rsid w:val="30B113FA"/>
    <w:rsid w:val="30BD2BD1"/>
    <w:rsid w:val="30C12010"/>
    <w:rsid w:val="30E60027"/>
    <w:rsid w:val="311CC083"/>
    <w:rsid w:val="3133EA06"/>
    <w:rsid w:val="3157DC0F"/>
    <w:rsid w:val="31839BC0"/>
    <w:rsid w:val="318E1FA7"/>
    <w:rsid w:val="3200802F"/>
    <w:rsid w:val="3244F6D5"/>
    <w:rsid w:val="327783FD"/>
    <w:rsid w:val="32B50DC5"/>
    <w:rsid w:val="32C88AE5"/>
    <w:rsid w:val="32D6128E"/>
    <w:rsid w:val="32DCC45F"/>
    <w:rsid w:val="32DE7658"/>
    <w:rsid w:val="338E9553"/>
    <w:rsid w:val="342366F0"/>
    <w:rsid w:val="34518ED7"/>
    <w:rsid w:val="34651003"/>
    <w:rsid w:val="347894C0"/>
    <w:rsid w:val="348F7CD1"/>
    <w:rsid w:val="351EBE89"/>
    <w:rsid w:val="35662C17"/>
    <w:rsid w:val="35B96F59"/>
    <w:rsid w:val="35D985CC"/>
    <w:rsid w:val="35DF7163"/>
    <w:rsid w:val="36002BA7"/>
    <w:rsid w:val="372C3F3D"/>
    <w:rsid w:val="372ED3A6"/>
    <w:rsid w:val="374A6C1D"/>
    <w:rsid w:val="37601778"/>
    <w:rsid w:val="380EE6CD"/>
    <w:rsid w:val="3886CBCC"/>
    <w:rsid w:val="388FBB69"/>
    <w:rsid w:val="39244F49"/>
    <w:rsid w:val="39396000"/>
    <w:rsid w:val="39C123A9"/>
    <w:rsid w:val="39D46376"/>
    <w:rsid w:val="39D4B930"/>
    <w:rsid w:val="39F237F7"/>
    <w:rsid w:val="3A8033AD"/>
    <w:rsid w:val="3AA455C9"/>
    <w:rsid w:val="3ABA746D"/>
    <w:rsid w:val="3AF18BC3"/>
    <w:rsid w:val="3B009B55"/>
    <w:rsid w:val="3B00DD7D"/>
    <w:rsid w:val="3B1362EF"/>
    <w:rsid w:val="3B2B71D3"/>
    <w:rsid w:val="3B43CBAD"/>
    <w:rsid w:val="3BB44F0E"/>
    <w:rsid w:val="3C401C30"/>
    <w:rsid w:val="3C4707FD"/>
    <w:rsid w:val="3C691D82"/>
    <w:rsid w:val="3C84CCE4"/>
    <w:rsid w:val="3CA20AB3"/>
    <w:rsid w:val="3CB33633"/>
    <w:rsid w:val="3D467B84"/>
    <w:rsid w:val="3D9B1FB5"/>
    <w:rsid w:val="3DBA36A4"/>
    <w:rsid w:val="3DBA9B6C"/>
    <w:rsid w:val="3DDF8D9F"/>
    <w:rsid w:val="3E4B03B1"/>
    <w:rsid w:val="3E9494CC"/>
    <w:rsid w:val="3EA9663F"/>
    <w:rsid w:val="3EEC1295"/>
    <w:rsid w:val="3F257440"/>
    <w:rsid w:val="3F6767C6"/>
    <w:rsid w:val="40AF6002"/>
    <w:rsid w:val="40DC72B5"/>
    <w:rsid w:val="40E25A9E"/>
    <w:rsid w:val="40E6CA11"/>
    <w:rsid w:val="41582227"/>
    <w:rsid w:val="41857866"/>
    <w:rsid w:val="419FDE12"/>
    <w:rsid w:val="41B5056F"/>
    <w:rsid w:val="422BF675"/>
    <w:rsid w:val="42367307"/>
    <w:rsid w:val="427BC048"/>
    <w:rsid w:val="42C05D57"/>
    <w:rsid w:val="4318CD78"/>
    <w:rsid w:val="434EDD92"/>
    <w:rsid w:val="4356CB18"/>
    <w:rsid w:val="43821812"/>
    <w:rsid w:val="4393F59D"/>
    <w:rsid w:val="4399CAEE"/>
    <w:rsid w:val="450D829E"/>
    <w:rsid w:val="45392150"/>
    <w:rsid w:val="45594734"/>
    <w:rsid w:val="45B7DC3F"/>
    <w:rsid w:val="46492064"/>
    <w:rsid w:val="46512335"/>
    <w:rsid w:val="467ADE0D"/>
    <w:rsid w:val="46809EFE"/>
    <w:rsid w:val="46917940"/>
    <w:rsid w:val="46AE62B1"/>
    <w:rsid w:val="46BE1ACB"/>
    <w:rsid w:val="47097FB9"/>
    <w:rsid w:val="476B06CF"/>
    <w:rsid w:val="47969A9B"/>
    <w:rsid w:val="47D302E4"/>
    <w:rsid w:val="481285BF"/>
    <w:rsid w:val="4834F70A"/>
    <w:rsid w:val="48452360"/>
    <w:rsid w:val="484A0ED8"/>
    <w:rsid w:val="4899FA0A"/>
    <w:rsid w:val="48A24C37"/>
    <w:rsid w:val="48FCE94B"/>
    <w:rsid w:val="497659DF"/>
    <w:rsid w:val="49A454F4"/>
    <w:rsid w:val="49C60C9C"/>
    <w:rsid w:val="49E0F3C1"/>
    <w:rsid w:val="4A206F39"/>
    <w:rsid w:val="4A20D11D"/>
    <w:rsid w:val="4A3CC443"/>
    <w:rsid w:val="4AA4E84A"/>
    <w:rsid w:val="4AF81713"/>
    <w:rsid w:val="4B8B03C5"/>
    <w:rsid w:val="4C495104"/>
    <w:rsid w:val="4C717A29"/>
    <w:rsid w:val="4D198A45"/>
    <w:rsid w:val="4D1B3B4B"/>
    <w:rsid w:val="4D2CC0D6"/>
    <w:rsid w:val="4D3A1DFD"/>
    <w:rsid w:val="4D4CAE6B"/>
    <w:rsid w:val="4D602B8B"/>
    <w:rsid w:val="4DCA6650"/>
    <w:rsid w:val="4DCB54EA"/>
    <w:rsid w:val="4EC0175C"/>
    <w:rsid w:val="4EF4B7EB"/>
    <w:rsid w:val="4F038AC9"/>
    <w:rsid w:val="4FAC2243"/>
    <w:rsid w:val="4FEC9603"/>
    <w:rsid w:val="500264C2"/>
    <w:rsid w:val="503A2547"/>
    <w:rsid w:val="5107FB30"/>
    <w:rsid w:val="51534D33"/>
    <w:rsid w:val="51789FB0"/>
    <w:rsid w:val="51A0B5C3"/>
    <w:rsid w:val="51A8828E"/>
    <w:rsid w:val="51D958EA"/>
    <w:rsid w:val="520EDD2D"/>
    <w:rsid w:val="526E13D9"/>
    <w:rsid w:val="53161EFF"/>
    <w:rsid w:val="533A9E18"/>
    <w:rsid w:val="53D73207"/>
    <w:rsid w:val="53DFD82E"/>
    <w:rsid w:val="54D17B43"/>
    <w:rsid w:val="5513F2C3"/>
    <w:rsid w:val="554B8F16"/>
    <w:rsid w:val="55C43594"/>
    <w:rsid w:val="55DB6C53"/>
    <w:rsid w:val="55DD1C52"/>
    <w:rsid w:val="56871333"/>
    <w:rsid w:val="56994A3F"/>
    <w:rsid w:val="56BD403A"/>
    <w:rsid w:val="56D64B26"/>
    <w:rsid w:val="56DFF7BD"/>
    <w:rsid w:val="57411940"/>
    <w:rsid w:val="579811E7"/>
    <w:rsid w:val="57ABDE39"/>
    <w:rsid w:val="587002EA"/>
    <w:rsid w:val="58748796"/>
    <w:rsid w:val="58BE8C49"/>
    <w:rsid w:val="58E23F5C"/>
    <w:rsid w:val="58E808FB"/>
    <w:rsid w:val="58F09B81"/>
    <w:rsid w:val="58FD2309"/>
    <w:rsid w:val="590F0EA7"/>
    <w:rsid w:val="59259179"/>
    <w:rsid w:val="593D28AC"/>
    <w:rsid w:val="594BC9D0"/>
    <w:rsid w:val="5997A446"/>
    <w:rsid w:val="599BCA76"/>
    <w:rsid w:val="59DBC02C"/>
    <w:rsid w:val="5A3AC648"/>
    <w:rsid w:val="5A3D5F91"/>
    <w:rsid w:val="5A4B0286"/>
    <w:rsid w:val="5A9871F6"/>
    <w:rsid w:val="5B45C08E"/>
    <w:rsid w:val="5BB76760"/>
    <w:rsid w:val="5BCECC5D"/>
    <w:rsid w:val="5BFACC43"/>
    <w:rsid w:val="5BFB61E5"/>
    <w:rsid w:val="5CBD0145"/>
    <w:rsid w:val="5D582B8F"/>
    <w:rsid w:val="5E134890"/>
    <w:rsid w:val="5E137EA5"/>
    <w:rsid w:val="5E8501FA"/>
    <w:rsid w:val="5EAF314F"/>
    <w:rsid w:val="5F031985"/>
    <w:rsid w:val="5F337406"/>
    <w:rsid w:val="5FD75547"/>
    <w:rsid w:val="603441CB"/>
    <w:rsid w:val="60666F7B"/>
    <w:rsid w:val="607FF77F"/>
    <w:rsid w:val="60A15CAC"/>
    <w:rsid w:val="614D1E21"/>
    <w:rsid w:val="615F8838"/>
    <w:rsid w:val="616FAE67"/>
    <w:rsid w:val="61C0482F"/>
    <w:rsid w:val="61F5D218"/>
    <w:rsid w:val="622A0484"/>
    <w:rsid w:val="626C3E36"/>
    <w:rsid w:val="6271C761"/>
    <w:rsid w:val="629FA6A7"/>
    <w:rsid w:val="63122617"/>
    <w:rsid w:val="634BF278"/>
    <w:rsid w:val="6378E123"/>
    <w:rsid w:val="638308BD"/>
    <w:rsid w:val="63837753"/>
    <w:rsid w:val="639C7777"/>
    <w:rsid w:val="63A950E8"/>
    <w:rsid w:val="63DA013F"/>
    <w:rsid w:val="64E59BE3"/>
    <w:rsid w:val="6507060B"/>
    <w:rsid w:val="6598A388"/>
    <w:rsid w:val="6599D8D3"/>
    <w:rsid w:val="65F1901D"/>
    <w:rsid w:val="660AB87A"/>
    <w:rsid w:val="66817820"/>
    <w:rsid w:val="66CCEC7F"/>
    <w:rsid w:val="66D41839"/>
    <w:rsid w:val="66E42155"/>
    <w:rsid w:val="6772207F"/>
    <w:rsid w:val="6786CDF4"/>
    <w:rsid w:val="67954E04"/>
    <w:rsid w:val="67E544A1"/>
    <w:rsid w:val="67F6D6C4"/>
    <w:rsid w:val="680E2C2C"/>
    <w:rsid w:val="68550F6B"/>
    <w:rsid w:val="686FE89A"/>
    <w:rsid w:val="6896BBD9"/>
    <w:rsid w:val="68BA9FD9"/>
    <w:rsid w:val="692CBCFF"/>
    <w:rsid w:val="6996839C"/>
    <w:rsid w:val="6A18926C"/>
    <w:rsid w:val="6A979C4C"/>
    <w:rsid w:val="6AD15536"/>
    <w:rsid w:val="6B1CC525"/>
    <w:rsid w:val="6B678A93"/>
    <w:rsid w:val="6BC8FC5D"/>
    <w:rsid w:val="6C4F96CA"/>
    <w:rsid w:val="6C81D792"/>
    <w:rsid w:val="6D881FFB"/>
    <w:rsid w:val="6DB8758B"/>
    <w:rsid w:val="6DDAC23F"/>
    <w:rsid w:val="6DFC3707"/>
    <w:rsid w:val="6DFD07D3"/>
    <w:rsid w:val="6E1DC030"/>
    <w:rsid w:val="6E24C8EC"/>
    <w:rsid w:val="6E51B473"/>
    <w:rsid w:val="6EDF2A1E"/>
    <w:rsid w:val="6F18CFEB"/>
    <w:rsid w:val="6F567187"/>
    <w:rsid w:val="6F8CEE91"/>
    <w:rsid w:val="6F987263"/>
    <w:rsid w:val="6F9C1D7C"/>
    <w:rsid w:val="7023365E"/>
    <w:rsid w:val="70473957"/>
    <w:rsid w:val="70493FB0"/>
    <w:rsid w:val="70EDB573"/>
    <w:rsid w:val="70F0164D"/>
    <w:rsid w:val="7118900D"/>
    <w:rsid w:val="71550329"/>
    <w:rsid w:val="719A412C"/>
    <w:rsid w:val="71BF31AF"/>
    <w:rsid w:val="71D529B3"/>
    <w:rsid w:val="726D6073"/>
    <w:rsid w:val="73055C8B"/>
    <w:rsid w:val="7357FE2D"/>
    <w:rsid w:val="735B0210"/>
    <w:rsid w:val="735DC064"/>
    <w:rsid w:val="73693731"/>
    <w:rsid w:val="737BAE1E"/>
    <w:rsid w:val="73ED2F6D"/>
    <w:rsid w:val="7496A5B7"/>
    <w:rsid w:val="75093E80"/>
    <w:rsid w:val="7551AAC8"/>
    <w:rsid w:val="755D591A"/>
    <w:rsid w:val="75A493D6"/>
    <w:rsid w:val="75FB7E0F"/>
    <w:rsid w:val="7615C360"/>
    <w:rsid w:val="762728A1"/>
    <w:rsid w:val="7639E153"/>
    <w:rsid w:val="766A73CE"/>
    <w:rsid w:val="7692A2D2"/>
    <w:rsid w:val="76B7F132"/>
    <w:rsid w:val="77B137BC"/>
    <w:rsid w:val="77B78DF5"/>
    <w:rsid w:val="77C325C7"/>
    <w:rsid w:val="77DC861C"/>
    <w:rsid w:val="77EBDFFD"/>
    <w:rsid w:val="77EFCC35"/>
    <w:rsid w:val="7894F9DC"/>
    <w:rsid w:val="78A91F96"/>
    <w:rsid w:val="78AAB063"/>
    <w:rsid w:val="78E8C05C"/>
    <w:rsid w:val="7902FF23"/>
    <w:rsid w:val="79321DBC"/>
    <w:rsid w:val="79352B18"/>
    <w:rsid w:val="793B1C2C"/>
    <w:rsid w:val="79D1C745"/>
    <w:rsid w:val="79F93561"/>
    <w:rsid w:val="7ABAA7C9"/>
    <w:rsid w:val="7AC9EA33"/>
    <w:rsid w:val="7B86992F"/>
    <w:rsid w:val="7BF3FAD8"/>
    <w:rsid w:val="7C3022A9"/>
    <w:rsid w:val="7C49B2B8"/>
    <w:rsid w:val="7C9BF249"/>
    <w:rsid w:val="7CCD32E9"/>
    <w:rsid w:val="7CD10A32"/>
    <w:rsid w:val="7CFDD568"/>
    <w:rsid w:val="7D4A34AD"/>
    <w:rsid w:val="7D581514"/>
    <w:rsid w:val="7D597D87"/>
    <w:rsid w:val="7DCEC552"/>
    <w:rsid w:val="7DD3A5B2"/>
    <w:rsid w:val="7E77F0F1"/>
    <w:rsid w:val="7ECD06CC"/>
    <w:rsid w:val="7EF0EC82"/>
    <w:rsid w:val="7F2F5AC7"/>
    <w:rsid w:val="7F91D763"/>
    <w:rsid w:val="7FB683B3"/>
    <w:rsid w:val="7FC9AAF7"/>
    <w:rsid w:val="7FE4A918"/>
    <w:rsid w:val="7FE50AD6"/>
    <w:rsid w:val="7FE840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0D8FCC"/>
  <w15:docId w15:val="{F71BCEF5-E76A-463F-A87D-909AF10D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21"/>
    <w:pPr>
      <w:spacing w:before="240" w:after="240" w:line="240" w:lineRule="auto"/>
      <w:jc w:val="both"/>
    </w:pPr>
    <w:rPr>
      <w:rFonts w:ascii="Roboto" w:hAnsi="Roboto"/>
      <w:sz w:val="21"/>
    </w:rPr>
  </w:style>
  <w:style w:type="paragraph" w:styleId="Titre1">
    <w:name w:val="heading 1"/>
    <w:basedOn w:val="Normal"/>
    <w:next w:val="Normal"/>
    <w:link w:val="Titre1Car"/>
    <w:autoRedefine/>
    <w:uiPriority w:val="9"/>
    <w:qFormat/>
    <w:rsid w:val="000E140E"/>
    <w:pPr>
      <w:numPr>
        <w:numId w:val="2"/>
      </w:numPr>
      <w:spacing w:before="720"/>
      <w:outlineLvl w:val="0"/>
    </w:pPr>
    <w:rPr>
      <w:rFonts w:ascii="Roboto Medium" w:eastAsiaTheme="majorEastAsia" w:hAnsi="Roboto Medium" w:cstheme="minorHAnsi"/>
      <w:bCs/>
      <w:caps/>
      <w:noProof/>
      <w:color w:val="24356D"/>
      <w:sz w:val="24"/>
      <w:szCs w:val="24"/>
    </w:rPr>
  </w:style>
  <w:style w:type="paragraph" w:styleId="Titre2">
    <w:name w:val="heading 2"/>
    <w:basedOn w:val="Normal"/>
    <w:next w:val="Normal"/>
    <w:link w:val="Titre2Car"/>
    <w:autoRedefine/>
    <w:uiPriority w:val="9"/>
    <w:unhideWhenUsed/>
    <w:qFormat/>
    <w:rsid w:val="000A372B"/>
    <w:pPr>
      <w:numPr>
        <w:ilvl w:val="1"/>
        <w:numId w:val="2"/>
      </w:numPr>
      <w:spacing w:before="120" w:after="120"/>
      <w:ind w:left="992" w:hanging="567"/>
      <w:mirrorIndents/>
      <w:outlineLvl w:val="1"/>
    </w:pPr>
    <w:rPr>
      <w:rFonts w:eastAsiaTheme="majorEastAsia" w:cstheme="majorBidi"/>
      <w:bCs/>
      <w:color w:val="24356D"/>
      <w:sz w:val="22"/>
      <w:szCs w:val="26"/>
    </w:rPr>
  </w:style>
  <w:style w:type="paragraph" w:styleId="Titre3">
    <w:name w:val="heading 3"/>
    <w:basedOn w:val="Titre2"/>
    <w:next w:val="Normal"/>
    <w:link w:val="Titre3Car"/>
    <w:autoRedefine/>
    <w:uiPriority w:val="9"/>
    <w:unhideWhenUsed/>
    <w:qFormat/>
    <w:rsid w:val="000B6477"/>
    <w:pPr>
      <w:numPr>
        <w:ilvl w:val="2"/>
      </w:numPr>
      <w:spacing w:before="360"/>
      <w:ind w:left="1418"/>
      <w:mirrorIndents w:val="0"/>
      <w:outlineLvl w:val="2"/>
    </w:pPr>
    <w:rPr>
      <w:sz w:val="21"/>
    </w:rPr>
  </w:style>
  <w:style w:type="paragraph" w:styleId="Titre4">
    <w:name w:val="heading 4"/>
    <w:basedOn w:val="Normal"/>
    <w:next w:val="Normal"/>
    <w:link w:val="Titre4Car"/>
    <w:uiPriority w:val="9"/>
    <w:unhideWhenUsed/>
    <w:qFormat/>
    <w:rsid w:val="00A576FF"/>
    <w:pPr>
      <w:keepNext/>
      <w:keepLines/>
      <w:numPr>
        <w:ilvl w:val="3"/>
        <w:numId w:val="2"/>
      </w:numPr>
      <w:spacing w:before="200"/>
      <w:outlineLvl w:val="3"/>
    </w:pPr>
    <w:rPr>
      <w:rFonts w:eastAsiaTheme="majorEastAsia" w:cstheme="majorBidi"/>
      <w:bCs/>
      <w:iCs/>
      <w:color w:val="24356D"/>
      <w:sz w:val="19"/>
    </w:rPr>
  </w:style>
  <w:style w:type="paragraph" w:styleId="Titre5">
    <w:name w:val="heading 5"/>
    <w:basedOn w:val="Normal"/>
    <w:next w:val="Normal"/>
    <w:link w:val="Titre5Car"/>
    <w:uiPriority w:val="9"/>
    <w:unhideWhenUsed/>
    <w:qFormat/>
    <w:rsid w:val="00A576FF"/>
    <w:pPr>
      <w:keepNext/>
      <w:keepLines/>
      <w:numPr>
        <w:ilvl w:val="4"/>
        <w:numId w:val="2"/>
      </w:numPr>
      <w:spacing w:before="360" w:after="0"/>
      <w:outlineLvl w:val="4"/>
    </w:pPr>
    <w:rPr>
      <w:rFonts w:eastAsiaTheme="majorEastAsia" w:cstheme="majorBidi"/>
      <w:color w:val="24356D"/>
      <w:spacing w:val="-4"/>
    </w:rPr>
  </w:style>
  <w:style w:type="paragraph" w:styleId="Titre6">
    <w:name w:val="heading 6"/>
    <w:basedOn w:val="Normal"/>
    <w:next w:val="Normal"/>
    <w:link w:val="Titre6Car"/>
    <w:uiPriority w:val="9"/>
    <w:unhideWhenUsed/>
    <w:qFormat/>
    <w:rsid w:val="00A576FF"/>
    <w:pPr>
      <w:keepNext/>
      <w:keepLines/>
      <w:spacing w:before="40" w:after="0"/>
      <w:outlineLvl w:val="5"/>
    </w:pPr>
    <w:rPr>
      <w:rFonts w:ascii="Roboto Medium" w:eastAsiaTheme="majorEastAsia" w:hAnsi="Roboto Medium" w:cstheme="majorBidi"/>
      <w:color w:val="24356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372B"/>
    <w:rPr>
      <w:rFonts w:ascii="Roboto" w:eastAsiaTheme="majorEastAsia" w:hAnsi="Roboto" w:cstheme="majorBidi"/>
      <w:bCs/>
      <w:color w:val="24356D"/>
      <w:sz w:val="22"/>
      <w:szCs w:val="26"/>
    </w:rPr>
  </w:style>
  <w:style w:type="character" w:customStyle="1" w:styleId="Titre3Car">
    <w:name w:val="Titre 3 Car"/>
    <w:basedOn w:val="Policepardfaut"/>
    <w:link w:val="Titre3"/>
    <w:uiPriority w:val="9"/>
    <w:rsid w:val="000B6477"/>
    <w:rPr>
      <w:rFonts w:ascii="Roboto" w:eastAsiaTheme="majorEastAsia" w:hAnsi="Roboto" w:cstheme="majorBidi"/>
      <w:bCs/>
      <w:color w:val="24356D"/>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la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1Vert">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2Vert">
      <w:tblPr/>
      <w:tcPr>
        <w:tcBorders>
          <w:top w:val="nil"/>
          <w:left w:val="nil"/>
          <w:bottom w:val="nil"/>
          <w:right w:val="nil"/>
          <w:insideH w:val="single" w:sz="4" w:space="0" w:color="815374"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9"/>
    <w:rsid w:val="000E140E"/>
    <w:rPr>
      <w:rFonts w:ascii="Roboto Medium" w:eastAsiaTheme="majorEastAsia" w:hAnsi="Roboto Medium" w:cstheme="minorHAnsi"/>
      <w:bCs/>
      <w:caps/>
      <w:noProof/>
      <w:color w:val="24356D"/>
      <w:sz w:val="24"/>
      <w:szCs w:val="24"/>
    </w:rPr>
  </w:style>
  <w:style w:type="paragraph" w:customStyle="1" w:styleId="Question1">
    <w:name w:val="Question 1"/>
    <w:link w:val="Question1Car"/>
    <w:qFormat/>
    <w:rsid w:val="00A576FF"/>
    <w:pPr>
      <w:ind w:left="720" w:hanging="360"/>
      <w:jc w:val="both"/>
    </w:pPr>
    <w:rPr>
      <w:rFonts w:ascii="Roboto" w:eastAsiaTheme="majorEastAsia" w:hAnsi="Roboto" w:cstheme="minorHAnsi"/>
      <w:bCs/>
      <w:sz w:val="18"/>
      <w:szCs w:val="24"/>
    </w:rPr>
  </w:style>
  <w:style w:type="character" w:customStyle="1" w:styleId="Question1Car">
    <w:name w:val="Question 1 Car"/>
    <w:basedOn w:val="Titre1Car"/>
    <w:link w:val="Question1"/>
    <w:rsid w:val="00A576FF"/>
    <w:rPr>
      <w:rFonts w:ascii="Roboto" w:eastAsiaTheme="majorEastAsia" w:hAnsi="Roboto" w:cstheme="minorHAnsi"/>
      <w:bCs/>
      <w:caps w:val="0"/>
      <w:noProof/>
      <w:color w:val="24356D"/>
      <w:sz w:val="18"/>
      <w:szCs w:val="24"/>
    </w:rPr>
  </w:style>
  <w:style w:type="paragraph" w:customStyle="1" w:styleId="Question2">
    <w:name w:val="Question 2"/>
    <w:basedOn w:val="Question1"/>
    <w:link w:val="Question2Car"/>
    <w:qFormat/>
    <w:rsid w:val="00A576FF"/>
    <w:pPr>
      <w:ind w:left="1134"/>
    </w:pPr>
  </w:style>
  <w:style w:type="character" w:customStyle="1" w:styleId="Question2Car">
    <w:name w:val="Question 2 Car"/>
    <w:basedOn w:val="Question1Car"/>
    <w:link w:val="Question2"/>
    <w:rsid w:val="00A576FF"/>
    <w:rPr>
      <w:rFonts w:ascii="Roboto" w:eastAsiaTheme="majorEastAsia" w:hAnsi="Roboto" w:cstheme="minorHAnsi"/>
      <w:bCs/>
      <w:caps w:val="0"/>
      <w:noProof/>
      <w:color w:val="24356D"/>
      <w:sz w:val="18"/>
      <w:szCs w:val="24"/>
    </w:rPr>
  </w:style>
  <w:style w:type="paragraph" w:styleId="Titre">
    <w:name w:val="Title"/>
    <w:aliases w:val="Type du document"/>
    <w:next w:val="Normal"/>
    <w:link w:val="TitreCar"/>
    <w:uiPriority w:val="10"/>
    <w:qFormat/>
    <w:rsid w:val="00A576FF"/>
    <w:pPr>
      <w:spacing w:before="240"/>
    </w:pPr>
    <w:rPr>
      <w:rFonts w:ascii="Roboto Medium" w:eastAsiaTheme="majorEastAsia" w:hAnsi="Roboto Medium" w:cstheme="majorBidi"/>
      <w:color w:val="24356D"/>
      <w:spacing w:val="5"/>
      <w:kern w:val="28"/>
      <w:sz w:val="24"/>
      <w:szCs w:val="52"/>
    </w:rPr>
  </w:style>
  <w:style w:type="character" w:customStyle="1" w:styleId="TitreCar">
    <w:name w:val="Titre Car"/>
    <w:aliases w:val="Type du document Car"/>
    <w:basedOn w:val="Policepardfaut"/>
    <w:link w:val="Titre"/>
    <w:uiPriority w:val="10"/>
    <w:rsid w:val="00A576FF"/>
    <w:rPr>
      <w:rFonts w:ascii="Roboto Medium" w:eastAsiaTheme="majorEastAsia" w:hAnsi="Roboto Medium" w:cstheme="majorBidi"/>
      <w:color w:val="24356D"/>
      <w:spacing w:val="5"/>
      <w:kern w:val="28"/>
      <w:sz w:val="24"/>
      <w:szCs w:val="52"/>
    </w:rPr>
  </w:style>
  <w:style w:type="character" w:customStyle="1" w:styleId="Absatz-Standardschriftart">
    <w:name w:val="Absatz-Standardschriftart"/>
    <w:rsid w:val="00A8513C"/>
  </w:style>
  <w:style w:type="character" w:customStyle="1" w:styleId="WW-Absatz-Standardschriftart">
    <w:name w:val="WW-Absatz-Standardschriftart"/>
    <w:rsid w:val="00A8513C"/>
  </w:style>
  <w:style w:type="character" w:customStyle="1" w:styleId="WW-Absatz-Standardschriftart1">
    <w:name w:val="WW-Absatz-Standardschriftart1"/>
    <w:rsid w:val="00A8513C"/>
  </w:style>
  <w:style w:type="character" w:customStyle="1" w:styleId="WW-Absatz-Standardschriftart11">
    <w:name w:val="WW-Absatz-Standardschriftart11"/>
    <w:rsid w:val="00A8513C"/>
  </w:style>
  <w:style w:type="character" w:customStyle="1" w:styleId="WW8Num1z2">
    <w:name w:val="WW8Num1z2"/>
    <w:rsid w:val="00A8513C"/>
    <w:rPr>
      <w:rFonts w:ascii="Wingdings" w:hAnsi="Wingdings"/>
    </w:rPr>
  </w:style>
  <w:style w:type="character" w:customStyle="1" w:styleId="WW8Num1z3">
    <w:name w:val="WW8Num1z3"/>
    <w:rsid w:val="00A8513C"/>
    <w:rPr>
      <w:rFonts w:ascii="Symbol" w:hAnsi="Symbol"/>
    </w:rPr>
  </w:style>
  <w:style w:type="character" w:customStyle="1" w:styleId="WW8Num2z0">
    <w:name w:val="WW8Num2z0"/>
    <w:rsid w:val="00A8513C"/>
    <w:rPr>
      <w:rFonts w:ascii="Times New Roman" w:hAnsi="Times New Roman" w:cs="Times New Roman"/>
    </w:rPr>
  </w:style>
  <w:style w:type="character" w:customStyle="1" w:styleId="WW8Num3z0">
    <w:name w:val="WW8Num3z0"/>
    <w:rsid w:val="00A8513C"/>
    <w:rPr>
      <w:rFonts w:ascii="Times New Roman" w:eastAsia="Times New Roman" w:hAnsi="Times New Roman" w:cs="Times New Roman"/>
    </w:rPr>
  </w:style>
  <w:style w:type="character" w:customStyle="1" w:styleId="WW8Num3z1">
    <w:name w:val="WW8Num3z1"/>
    <w:rsid w:val="00A8513C"/>
    <w:rPr>
      <w:rFonts w:ascii="Courier New" w:hAnsi="Courier New"/>
    </w:rPr>
  </w:style>
  <w:style w:type="character" w:customStyle="1" w:styleId="WW8Num3z2">
    <w:name w:val="WW8Num3z2"/>
    <w:rsid w:val="00A8513C"/>
    <w:rPr>
      <w:rFonts w:ascii="Wingdings" w:hAnsi="Wingdings"/>
    </w:rPr>
  </w:style>
  <w:style w:type="character" w:customStyle="1" w:styleId="WW8Num3z3">
    <w:name w:val="WW8Num3z3"/>
    <w:rsid w:val="00A8513C"/>
    <w:rPr>
      <w:rFonts w:ascii="Symbol" w:hAnsi="Symbol"/>
    </w:rPr>
  </w:style>
  <w:style w:type="character" w:customStyle="1" w:styleId="WW8Num4z0">
    <w:name w:val="WW8Num4z0"/>
    <w:rsid w:val="00A8513C"/>
    <w:rPr>
      <w:rFonts w:ascii="Times New Roman" w:eastAsia="Times New Roman" w:hAnsi="Times New Roman" w:cs="Times New Roman"/>
    </w:rPr>
  </w:style>
  <w:style w:type="character" w:customStyle="1" w:styleId="WW8Num4z1">
    <w:name w:val="WW8Num4z1"/>
    <w:rsid w:val="00A8513C"/>
    <w:rPr>
      <w:rFonts w:ascii="Courier New" w:hAnsi="Courier New"/>
    </w:rPr>
  </w:style>
  <w:style w:type="character" w:customStyle="1" w:styleId="WW8Num4z2">
    <w:name w:val="WW8Num4z2"/>
    <w:rsid w:val="00A8513C"/>
    <w:rPr>
      <w:rFonts w:ascii="Wingdings" w:hAnsi="Wingdings"/>
    </w:rPr>
  </w:style>
  <w:style w:type="character" w:customStyle="1" w:styleId="WW8Num4z3">
    <w:name w:val="WW8Num4z3"/>
    <w:rsid w:val="00A8513C"/>
    <w:rPr>
      <w:rFonts w:ascii="Symbol" w:hAnsi="Symbol"/>
    </w:rPr>
  </w:style>
  <w:style w:type="character" w:customStyle="1" w:styleId="BalloonTextChar">
    <w:name w:val="Balloon Text Char"/>
    <w:rsid w:val="00A8513C"/>
    <w:rPr>
      <w:rFonts w:ascii="Tahoma" w:hAnsi="Tahoma" w:cs="Tahoma"/>
      <w:sz w:val="16"/>
      <w:szCs w:val="16"/>
    </w:rPr>
  </w:style>
  <w:style w:type="character" w:customStyle="1" w:styleId="HeaderChar">
    <w:name w:val="Header Char"/>
    <w:rsid w:val="00A8513C"/>
    <w:rPr>
      <w:rFonts w:ascii="Times New Roman" w:hAnsi="Times New Roman" w:cs="Times New Roman"/>
    </w:rPr>
  </w:style>
  <w:style w:type="character" w:customStyle="1" w:styleId="FooterChar">
    <w:name w:val="Footer Char"/>
    <w:rsid w:val="00A8513C"/>
    <w:rPr>
      <w:rFonts w:ascii="Times New Roman" w:hAnsi="Times New Roman" w:cs="Times New Roman"/>
    </w:rPr>
  </w:style>
  <w:style w:type="paragraph" w:customStyle="1" w:styleId="Index">
    <w:name w:val="Index"/>
    <w:basedOn w:val="Normal"/>
    <w:rsid w:val="00A8513C"/>
    <w:pPr>
      <w:suppressLineNumbers/>
    </w:pPr>
    <w:rPr>
      <w:rFonts w:ascii="Liberation Sans" w:hAnsi="Liberation Sans" w:cs="Tahoma"/>
    </w:rPr>
  </w:style>
  <w:style w:type="paragraph" w:customStyle="1" w:styleId="Textedebulles1">
    <w:name w:val="Texte de bulles1"/>
    <w:basedOn w:val="Normal"/>
    <w:rsid w:val="00A8513C"/>
    <w:rPr>
      <w:rFonts w:ascii="Tahoma" w:hAnsi="Tahoma" w:cs="Tahoma"/>
      <w:sz w:val="16"/>
      <w:szCs w:val="16"/>
    </w:rPr>
  </w:style>
  <w:style w:type="paragraph" w:customStyle="1" w:styleId="Paragraphedeliste1">
    <w:name w:val="Paragraphe de liste1"/>
    <w:basedOn w:val="Normal"/>
    <w:rsid w:val="00A8513C"/>
    <w:pPr>
      <w:ind w:left="720"/>
    </w:p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rsid w:val="00A8513C"/>
    <w:pPr>
      <w:numPr>
        <w:numId w:val="1"/>
      </w:numPr>
    </w:pPr>
  </w:style>
  <w:style w:type="character" w:customStyle="1" w:styleId="Titre4Car">
    <w:name w:val="Titre 4 Car"/>
    <w:basedOn w:val="Policepardfaut"/>
    <w:link w:val="Titre4"/>
    <w:uiPriority w:val="9"/>
    <w:rsid w:val="00A576FF"/>
    <w:rPr>
      <w:rFonts w:ascii="Roboto" w:eastAsiaTheme="majorEastAsia" w:hAnsi="Roboto" w:cstheme="majorBidi"/>
      <w:bCs/>
      <w:iCs/>
      <w:color w:val="24356D"/>
      <w:sz w:val="19"/>
    </w:rPr>
  </w:style>
  <w:style w:type="character" w:customStyle="1" w:styleId="Titre5Car">
    <w:name w:val="Titre 5 Car"/>
    <w:basedOn w:val="Policepardfaut"/>
    <w:link w:val="Titre5"/>
    <w:uiPriority w:val="9"/>
    <w:rsid w:val="00A576FF"/>
    <w:rPr>
      <w:rFonts w:ascii="Roboto" w:eastAsiaTheme="majorEastAsia" w:hAnsi="Roboto" w:cstheme="majorBidi"/>
      <w:color w:val="24356D"/>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A8513C"/>
    <w:pPr>
      <w:tabs>
        <w:tab w:val="center" w:pos="4536"/>
        <w:tab w:val="right" w:pos="9072"/>
      </w:tabs>
    </w:pPr>
  </w:style>
  <w:style w:type="character" w:customStyle="1" w:styleId="PieddepageCar">
    <w:name w:val="Pied de page Car"/>
    <w:link w:val="Pieddepage"/>
    <w:uiPriority w:val="99"/>
    <w:rsid w:val="00A8513C"/>
  </w:style>
  <w:style w:type="paragraph" w:styleId="Lgende">
    <w:name w:val="caption"/>
    <w:basedOn w:val="Normal"/>
    <w:uiPriority w:val="35"/>
    <w:semiHidden/>
    <w:unhideWhenUsed/>
    <w:qFormat/>
    <w:rsid w:val="00A8513C"/>
    <w:pPr>
      <w:spacing w:after="200"/>
    </w:pPr>
    <w:rPr>
      <w:rFonts w:cs="Tahoma"/>
      <w:b/>
      <w:bCs/>
      <w:color w:val="6C8A99" w:themeColor="accent1"/>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basedOn w:val="Titre"/>
    <w:next w:val="Normal"/>
    <w:link w:val="Sous-titreCar"/>
    <w:uiPriority w:val="11"/>
    <w:qFormat/>
    <w:rsid w:val="00A576FF"/>
    <w:pPr>
      <w:spacing w:before="120" w:after="480" w:line="240" w:lineRule="auto"/>
    </w:pPr>
    <w:rPr>
      <w:b/>
    </w:rPr>
  </w:style>
  <w:style w:type="character" w:customStyle="1" w:styleId="Sous-titreCar">
    <w:name w:val="Sous-titre Car"/>
    <w:aliases w:val="Titre document Car"/>
    <w:basedOn w:val="Policepardfaut"/>
    <w:link w:val="Sous-titre"/>
    <w:uiPriority w:val="11"/>
    <w:rsid w:val="00A576FF"/>
    <w:rPr>
      <w:rFonts w:ascii="Roboto Medium" w:eastAsiaTheme="majorEastAsia" w:hAnsi="Roboto Medium" w:cstheme="majorBidi"/>
      <w:b/>
      <w:color w:val="24356D"/>
      <w:spacing w:val="5"/>
      <w:kern w:val="28"/>
      <w:sz w:val="24"/>
      <w:szCs w:val="52"/>
    </w:rPr>
  </w:style>
  <w:style w:type="character" w:styleId="lev">
    <w:name w:val="Strong"/>
    <w:uiPriority w:val="22"/>
    <w:qFormat/>
    <w:rsid w:val="00A576FF"/>
    <w:rPr>
      <w:rFonts w:ascii="Roboto" w:hAnsi="Roboto"/>
      <w:b/>
      <w:bCs/>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paragraph" w:styleId="Paragraphedeliste">
    <w:name w:val="List Paragraph"/>
    <w:basedOn w:val="Normal"/>
    <w:link w:val="ParagraphedelisteCar"/>
    <w:uiPriority w:val="34"/>
    <w:qFormat/>
    <w:rsid w:val="00A576FF"/>
    <w:pPr>
      <w:numPr>
        <w:numId w:val="5"/>
      </w:numPr>
    </w:pPr>
  </w:style>
  <w:style w:type="character" w:styleId="Accentuationlgre">
    <w:name w:val="Subtle Emphasis"/>
    <w:basedOn w:val="Policepardfaut"/>
    <w:uiPriority w:val="19"/>
    <w:qFormat/>
    <w:rsid w:val="00A576FF"/>
    <w:rPr>
      <w:rFonts w:ascii="Roboto Light" w:hAnsi="Roboto Light"/>
      <w:b w:val="0"/>
      <w:i w:val="0"/>
      <w:iCs/>
      <w:color w:val="24356D"/>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5374" w:themeColor="accent6"/>
        <w:left w:val="single" w:sz="8" w:space="0" w:color="815374" w:themeColor="accent6"/>
        <w:bottom w:val="single" w:sz="8" w:space="0" w:color="815374" w:themeColor="accent6"/>
        <w:right w:val="single" w:sz="8" w:space="0" w:color="815374" w:themeColor="accent6"/>
        <w:insideH w:val="single" w:sz="8" w:space="0" w:color="815374" w:themeColor="accent6"/>
        <w:insideV w:val="single" w:sz="8" w:space="0" w:color="815374" w:themeColor="accent6"/>
      </w:tblBorders>
    </w:tblPr>
    <w:tcPr>
      <w:shd w:val="clear" w:color="auto" w:fill="E2D2DD" w:themeFill="accent6" w:themeFillTint="3F"/>
      <w:vAlign w:val="center"/>
    </w:tcPr>
    <w:tblStylePr w:type="firstRow">
      <w:rPr>
        <w:b/>
        <w:bCs/>
        <w:color w:val="000000" w:themeColor="text1"/>
      </w:rPr>
      <w:tblPr/>
      <w:tcPr>
        <w:shd w:val="clear" w:color="auto" w:fill="F3ED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3" w:themeFill="accent6" w:themeFillTint="33"/>
      </w:tcPr>
    </w:tblStylePr>
    <w:tblStylePr w:type="band1Vert">
      <w:tblPr/>
      <w:tcPr>
        <w:shd w:val="clear" w:color="auto" w:fill="C4A4BB" w:themeFill="accent6" w:themeFillTint="7F"/>
      </w:tcPr>
    </w:tblStylePr>
    <w:tblStylePr w:type="band1Horz">
      <w:tblPr/>
      <w:tcPr>
        <w:tcBorders>
          <w:insideH w:val="single" w:sz="6" w:space="0" w:color="815374" w:themeColor="accent6"/>
          <w:insideV w:val="single" w:sz="6" w:space="0" w:color="815374" w:themeColor="accent6"/>
        </w:tcBorders>
        <w:shd w:val="clear" w:color="auto" w:fill="C4A4BB"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59"/>
    <w:rsid w:val="005C1C51"/>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24356D" w:themeColor="text2"/>
        <w:left w:val="single" w:sz="4" w:space="0" w:color="24356D" w:themeColor="text2"/>
        <w:bottom w:val="single" w:sz="4" w:space="0" w:color="24356D" w:themeColor="text2"/>
        <w:right w:val="single" w:sz="4" w:space="0" w:color="24356D" w:themeColor="text2"/>
        <w:insideH w:val="single" w:sz="4" w:space="0" w:color="24356D" w:themeColor="text2"/>
        <w:insideV w:val="single" w:sz="4" w:space="0" w:color="24356D"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nil"/>
          <w:insideV w:val="single" w:sz="4" w:space="0" w:color="24356D" w:themeColor="text2"/>
          <w:tl2br w:val="nil"/>
          <w:tr2bl w:val="nil"/>
        </w:tcBorders>
        <w:shd w:val="clear" w:color="auto" w:fill="24356D" w:themeFill="text2"/>
      </w:tcPr>
    </w:tblStylePr>
    <w:tblStylePr w:type="firstCol">
      <w:rPr>
        <w:b/>
        <w:color w:val="auto"/>
      </w:rPr>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nil"/>
          <w:insideV w:val="nil"/>
          <w:tl2br w:val="nil"/>
          <w:tr2bl w:val="nil"/>
        </w:tcBorders>
        <w:shd w:val="clear" w:color="auto" w:fill="C8D0ED" w:themeFill="text2" w:themeFillTint="33"/>
      </w:tcPr>
    </w:tblStylePr>
    <w:tblStylePr w:type="band1Vert">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nil"/>
          <w:insideV w:val="nil"/>
          <w:tl2br w:val="nil"/>
          <w:tr2bl w:val="nil"/>
        </w:tcBorders>
      </w:tcPr>
    </w:tblStylePr>
    <w:tblStylePr w:type="band2Vert">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nil"/>
          <w:insideV w:val="nil"/>
          <w:tl2br w:val="nil"/>
          <w:tr2bl w:val="nil"/>
        </w:tcBorders>
      </w:tcPr>
    </w:tblStylePr>
    <w:tblStylePr w:type="band1Horz">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single" w:sz="4" w:space="0" w:color="24356D" w:themeColor="text2"/>
          <w:insideV w:val="single" w:sz="4" w:space="0" w:color="24356D" w:themeColor="text2"/>
          <w:tl2br w:val="nil"/>
          <w:tr2bl w:val="nil"/>
        </w:tcBorders>
      </w:tcPr>
    </w:tblStylePr>
    <w:tblStylePr w:type="band2Horz">
      <w:tblPr/>
      <w:tcPr>
        <w:tcBorders>
          <w:top w:val="single" w:sz="4" w:space="0" w:color="24356D" w:themeColor="text2"/>
          <w:left w:val="single" w:sz="4" w:space="0" w:color="24356D" w:themeColor="text2"/>
          <w:bottom w:val="single" w:sz="4" w:space="0" w:color="24356D" w:themeColor="text2"/>
          <w:right w:val="single" w:sz="4" w:space="0" w:color="24356D" w:themeColor="text2"/>
          <w:insideH w:val="single" w:sz="4" w:space="0" w:color="24356D" w:themeColor="text2"/>
          <w:insideV w:val="single" w:sz="4" w:space="0" w:color="24356D" w:themeColor="text2"/>
          <w:tl2br w:val="nil"/>
          <w:tr2bl w:val="nil"/>
        </w:tcBorders>
      </w:tcPr>
    </w:tblStylePr>
  </w:style>
  <w:style w:type="paragraph" w:customStyle="1" w:styleId="Listetirets">
    <w:name w:val="Liste (tirets)"/>
    <w:basedOn w:val="Paragraphedeliste"/>
    <w:uiPriority w:val="7"/>
    <w:qFormat/>
    <w:rsid w:val="00631EC4"/>
    <w:pPr>
      <w:numPr>
        <w:numId w:val="3"/>
      </w:numPr>
      <w:spacing w:before="120" w:after="120"/>
      <w:ind w:left="714" w:hanging="357"/>
    </w:pPr>
  </w:style>
  <w:style w:type="paragraph" w:styleId="TM3">
    <w:name w:val="toc 3"/>
    <w:basedOn w:val="Normal"/>
    <w:next w:val="Normal"/>
    <w:autoRedefine/>
    <w:uiPriority w:val="39"/>
    <w:unhideWhenUsed/>
    <w:rsid w:val="00C917F1"/>
    <w:pPr>
      <w:tabs>
        <w:tab w:val="right" w:leader="dot" w:pos="8789"/>
      </w:tabs>
      <w:spacing w:after="100"/>
      <w:ind w:left="1219" w:right="567" w:hanging="595"/>
      <w:jc w:val="left"/>
    </w:pPr>
    <w:rPr>
      <w:noProof/>
      <w:color w:val="002060"/>
    </w:rPr>
  </w:style>
  <w:style w:type="paragraph" w:customStyle="1" w:styleId="Listeavis">
    <w:name w:val="Liste (avis)"/>
    <w:basedOn w:val="Listetirets"/>
    <w:qFormat/>
    <w:rsid w:val="00A576FF"/>
    <w:pPr>
      <w:numPr>
        <w:numId w:val="4"/>
      </w:numPr>
    </w:pPr>
    <w:rPr>
      <w:color w:val="000000" w:themeColor="text1"/>
    </w:rPr>
  </w:style>
  <w:style w:type="character" w:styleId="Lienhypertexte">
    <w:name w:val="Hyperlink"/>
    <w:basedOn w:val="Policepardfaut"/>
    <w:uiPriority w:val="99"/>
    <w:unhideWhenUsed/>
    <w:rsid w:val="00EA7F75"/>
    <w:rPr>
      <w:color w:val="0563C1" w:themeColor="hyperlink"/>
      <w:u w:val="single"/>
    </w:rPr>
  </w:style>
  <w:style w:type="paragraph" w:styleId="TM1">
    <w:name w:val="toc 1"/>
    <w:basedOn w:val="Normal"/>
    <w:next w:val="Normal"/>
    <w:autoRedefine/>
    <w:uiPriority w:val="39"/>
    <w:unhideWhenUsed/>
    <w:rsid w:val="00CC230A"/>
    <w:pPr>
      <w:tabs>
        <w:tab w:val="left" w:pos="454"/>
        <w:tab w:val="right" w:leader="dot" w:pos="8789"/>
      </w:tabs>
      <w:spacing w:after="100"/>
    </w:pPr>
    <w:rPr>
      <w:b/>
      <w:caps/>
      <w:noProof/>
      <w:color w:val="002060"/>
    </w:rPr>
  </w:style>
  <w:style w:type="paragraph" w:styleId="TM2">
    <w:name w:val="toc 2"/>
    <w:basedOn w:val="Normal"/>
    <w:next w:val="Normal"/>
    <w:autoRedefine/>
    <w:uiPriority w:val="39"/>
    <w:unhideWhenUsed/>
    <w:rsid w:val="00D458D1"/>
    <w:pPr>
      <w:tabs>
        <w:tab w:val="left" w:pos="630"/>
        <w:tab w:val="left" w:pos="1219"/>
        <w:tab w:val="right" w:leader="dot" w:pos="8789"/>
        <w:tab w:val="right" w:leader="dot" w:pos="9270"/>
      </w:tabs>
      <w:spacing w:after="100"/>
      <w:ind w:left="454" w:hanging="227"/>
    </w:pPr>
    <w:rPr>
      <w:color w:val="002060"/>
    </w:rPr>
  </w:style>
  <w:style w:type="paragraph" w:customStyle="1" w:styleId="Encadr">
    <w:name w:val="Encadré"/>
    <w:basedOn w:val="Normal"/>
    <w:qFormat/>
    <w:rsid w:val="00A576FF"/>
    <w:pPr>
      <w:pBdr>
        <w:top w:val="single" w:sz="18" w:space="7" w:color="E7E6E6" w:themeColor="background2"/>
        <w:bottom w:val="single" w:sz="18" w:space="7" w:color="E7E6E6" w:themeColor="background2"/>
      </w:pBdr>
      <w:spacing w:before="360" w:after="360"/>
      <w:contextualSpacing/>
    </w:pPr>
    <w:rPr>
      <w:rFonts w:ascii="Roboto Bold Condensed" w:hAnsi="Roboto Bold Condensed"/>
      <w:b/>
      <w:i/>
      <w:color w:val="24356D"/>
    </w:rPr>
  </w:style>
  <w:style w:type="paragraph" w:styleId="Notedebasdepage">
    <w:name w:val="footnote text"/>
    <w:aliases w:val="ALTS FOOTNOTE,fn"/>
    <w:basedOn w:val="Normal"/>
    <w:link w:val="NotedebasdepageCar"/>
    <w:uiPriority w:val="99"/>
    <w:qFormat/>
    <w:rsid w:val="00E61C45"/>
    <w:pPr>
      <w:spacing w:before="0" w:after="0"/>
    </w:pPr>
    <w:rPr>
      <w:sz w:val="16"/>
    </w:rPr>
  </w:style>
  <w:style w:type="character" w:customStyle="1" w:styleId="NotedebasdepageCar">
    <w:name w:val="Note de bas de page Car"/>
    <w:aliases w:val="ALTS FOOTNOTE Car,fn Car"/>
    <w:basedOn w:val="Policepardfaut"/>
    <w:link w:val="Notedebasdepage"/>
    <w:uiPriority w:val="99"/>
    <w:rsid w:val="00E61C45"/>
    <w:rPr>
      <w:rFonts w:ascii="Franklin Gothic Book" w:hAnsi="Franklin Gothic Book"/>
      <w:sz w:val="16"/>
    </w:rPr>
  </w:style>
  <w:style w:type="character" w:styleId="Appelnotedebasdep">
    <w:name w:val="footnote reference"/>
    <w:basedOn w:val="Policepardfaut"/>
    <w:uiPriority w:val="99"/>
    <w:unhideWhenUsed/>
    <w:rsid w:val="00E61C45"/>
    <w:rPr>
      <w:vertAlign w:val="superscript"/>
    </w:rPr>
  </w:style>
  <w:style w:type="paragraph" w:customStyle="1" w:styleId="Dates">
    <w:name w:val="Dates"/>
    <w:basedOn w:val="Sous-titre"/>
    <w:rsid w:val="007D5C26"/>
    <w:rPr>
      <w:rFonts w:asciiTheme="minorHAnsi" w:hAnsiTheme="minorHAnsi"/>
      <w:color w:val="auto"/>
      <w:sz w:val="21"/>
    </w:rPr>
  </w:style>
  <w:style w:type="paragraph" w:styleId="NormalWeb">
    <w:name w:val="Normal (Web)"/>
    <w:basedOn w:val="Normal"/>
    <w:uiPriority w:val="99"/>
    <w:semiHidden/>
    <w:unhideWhenUsed/>
    <w:rsid w:val="00E54166"/>
    <w:pPr>
      <w:spacing w:before="100" w:beforeAutospacing="1" w:after="100" w:afterAutospacing="1"/>
      <w:jc w:val="left"/>
    </w:pPr>
    <w:rPr>
      <w:rFonts w:ascii="Times New Roman" w:eastAsia="Times New Roman" w:hAnsi="Times New Roman"/>
      <w:sz w:val="24"/>
      <w:szCs w:val="24"/>
    </w:rPr>
  </w:style>
  <w:style w:type="paragraph" w:styleId="TM5">
    <w:name w:val="toc 5"/>
    <w:basedOn w:val="Normal"/>
    <w:next w:val="Normal"/>
    <w:autoRedefine/>
    <w:uiPriority w:val="39"/>
    <w:unhideWhenUsed/>
    <w:rsid w:val="00A576FF"/>
    <w:pPr>
      <w:tabs>
        <w:tab w:val="right" w:leader="dot" w:pos="8789"/>
      </w:tabs>
      <w:spacing w:after="100"/>
      <w:ind w:left="1928"/>
    </w:pPr>
  </w:style>
  <w:style w:type="paragraph" w:styleId="TM4">
    <w:name w:val="toc 4"/>
    <w:basedOn w:val="Normal"/>
    <w:next w:val="Normal"/>
    <w:autoRedefine/>
    <w:uiPriority w:val="39"/>
    <w:unhideWhenUsed/>
    <w:rsid w:val="00A576FF"/>
    <w:pPr>
      <w:tabs>
        <w:tab w:val="right" w:leader="dot" w:pos="8789"/>
      </w:tabs>
      <w:spacing w:after="100"/>
      <w:ind w:left="1191"/>
    </w:pPr>
    <w:rPr>
      <w:rFonts w:ascii="Roboto Medium" w:hAnsi="Roboto Medium"/>
    </w:rPr>
  </w:style>
  <w:style w:type="character" w:styleId="Accentuationintense">
    <w:name w:val="Intense Emphasis"/>
    <w:basedOn w:val="Policepardfaut"/>
    <w:uiPriority w:val="21"/>
    <w:qFormat/>
    <w:rsid w:val="00344351"/>
    <w:rPr>
      <w:rFonts w:ascii="Roboto Thin" w:hAnsi="Roboto Thin"/>
      <w:b/>
      <w:i/>
      <w:iCs/>
      <w:color w:val="263561"/>
    </w:rPr>
  </w:style>
  <w:style w:type="paragraph" w:styleId="Citationintense">
    <w:name w:val="Intense Quote"/>
    <w:basedOn w:val="Normal"/>
    <w:next w:val="Normal"/>
    <w:link w:val="CitationintenseCar"/>
    <w:uiPriority w:val="30"/>
    <w:qFormat/>
    <w:rsid w:val="00344351"/>
    <w:pPr>
      <w:pBdr>
        <w:top w:val="single" w:sz="4" w:space="10" w:color="263561"/>
        <w:bottom w:val="single" w:sz="4" w:space="10" w:color="26356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344351"/>
    <w:rPr>
      <w:rFonts w:ascii="Roboto" w:hAnsi="Roboto"/>
      <w:iCs/>
      <w:color w:val="263561"/>
      <w:sz w:val="21"/>
    </w:rPr>
  </w:style>
  <w:style w:type="character" w:styleId="Rfrenceintense">
    <w:name w:val="Intense Reference"/>
    <w:basedOn w:val="Policepardfaut"/>
    <w:uiPriority w:val="32"/>
    <w:qFormat/>
    <w:rsid w:val="00A576FF"/>
    <w:rPr>
      <w:rFonts w:ascii="Roboto Medium" w:hAnsi="Roboto Medium"/>
      <w:b w:val="0"/>
      <w:bCs/>
      <w:i w:val="0"/>
      <w:smallCaps/>
      <w:color w:val="24356D"/>
      <w:spacing w:val="5"/>
    </w:rPr>
  </w:style>
  <w:style w:type="paragraph" w:styleId="Sansinterligne">
    <w:name w:val="No Spacing"/>
    <w:uiPriority w:val="1"/>
    <w:qFormat/>
    <w:rsid w:val="00A576FF"/>
    <w:pPr>
      <w:spacing w:line="240" w:lineRule="auto"/>
      <w:jc w:val="both"/>
    </w:pPr>
    <w:rPr>
      <w:rFonts w:ascii="Roboto" w:hAnsi="Roboto"/>
      <w:sz w:val="21"/>
    </w:rPr>
  </w:style>
  <w:style w:type="character" w:customStyle="1" w:styleId="Titre6Car">
    <w:name w:val="Titre 6 Car"/>
    <w:basedOn w:val="Policepardfaut"/>
    <w:link w:val="Titre6"/>
    <w:uiPriority w:val="9"/>
    <w:rsid w:val="00A576FF"/>
    <w:rPr>
      <w:rFonts w:ascii="Roboto Medium" w:eastAsiaTheme="majorEastAsia" w:hAnsi="Roboto Medium" w:cstheme="majorBidi"/>
      <w:color w:val="24356D"/>
      <w:sz w:val="21"/>
    </w:rPr>
  </w:style>
  <w:style w:type="character" w:styleId="Accentuation">
    <w:name w:val="Emphasis"/>
    <w:basedOn w:val="Policepardfaut"/>
    <w:uiPriority w:val="20"/>
    <w:qFormat/>
    <w:rsid w:val="00A576FF"/>
    <w:rPr>
      <w:rFonts w:ascii="Roboto" w:hAnsi="Roboto"/>
      <w:i/>
      <w:iCs/>
      <w:color w:val="24356D"/>
    </w:rPr>
  </w:style>
  <w:style w:type="paragraph" w:styleId="Citation">
    <w:name w:val="Quote"/>
    <w:basedOn w:val="Normal"/>
    <w:next w:val="Normal"/>
    <w:link w:val="CitationCar"/>
    <w:uiPriority w:val="29"/>
    <w:qFormat/>
    <w:rsid w:val="00A576F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576FF"/>
    <w:rPr>
      <w:rFonts w:ascii="Roboto" w:hAnsi="Roboto"/>
      <w:i/>
      <w:iCs/>
      <w:color w:val="404040" w:themeColor="text1" w:themeTint="BF"/>
      <w:sz w:val="21"/>
    </w:rPr>
  </w:style>
  <w:style w:type="character" w:styleId="Rfrencelgre">
    <w:name w:val="Subtle Reference"/>
    <w:basedOn w:val="Policepardfaut"/>
    <w:uiPriority w:val="31"/>
    <w:qFormat/>
    <w:rsid w:val="00A576FF"/>
    <w:rPr>
      <w:rFonts w:ascii="Roboto" w:hAnsi="Roboto"/>
      <w:smallCaps/>
      <w:color w:val="5A5A5A" w:themeColor="text1" w:themeTint="A5"/>
    </w:rPr>
  </w:style>
  <w:style w:type="character" w:styleId="Titredulivre">
    <w:name w:val="Book Title"/>
    <w:basedOn w:val="Policepardfaut"/>
    <w:uiPriority w:val="33"/>
    <w:qFormat/>
    <w:rsid w:val="00A576FF"/>
    <w:rPr>
      <w:rFonts w:ascii="Roboto" w:hAnsi="Roboto"/>
      <w:b/>
      <w:bCs/>
      <w:i/>
      <w:iCs/>
      <w:spacing w:val="5"/>
    </w:rPr>
  </w:style>
  <w:style w:type="paragraph" w:styleId="TM6">
    <w:name w:val="toc 6"/>
    <w:basedOn w:val="Normal"/>
    <w:next w:val="Normal"/>
    <w:autoRedefine/>
    <w:uiPriority w:val="39"/>
    <w:semiHidden/>
    <w:unhideWhenUsed/>
    <w:rsid w:val="00A576FF"/>
    <w:pPr>
      <w:tabs>
        <w:tab w:val="right" w:leader="dot" w:pos="8789"/>
      </w:tabs>
      <w:spacing w:after="100"/>
      <w:ind w:left="1050"/>
    </w:pPr>
  </w:style>
  <w:style w:type="paragraph" w:styleId="TM7">
    <w:name w:val="toc 7"/>
    <w:basedOn w:val="Normal"/>
    <w:next w:val="Normal"/>
    <w:autoRedefine/>
    <w:uiPriority w:val="39"/>
    <w:semiHidden/>
    <w:unhideWhenUsed/>
    <w:rsid w:val="00A576FF"/>
    <w:pPr>
      <w:tabs>
        <w:tab w:val="right" w:leader="dot" w:pos="8789"/>
      </w:tabs>
      <w:spacing w:after="100"/>
      <w:ind w:left="1260"/>
    </w:pPr>
  </w:style>
  <w:style w:type="paragraph" w:styleId="TM8">
    <w:name w:val="toc 8"/>
    <w:basedOn w:val="Normal"/>
    <w:next w:val="Normal"/>
    <w:autoRedefine/>
    <w:uiPriority w:val="39"/>
    <w:semiHidden/>
    <w:unhideWhenUsed/>
    <w:rsid w:val="00A576FF"/>
    <w:pPr>
      <w:tabs>
        <w:tab w:val="right" w:leader="dot" w:pos="8789"/>
      </w:tabs>
      <w:spacing w:after="100"/>
      <w:ind w:left="1470"/>
    </w:pPr>
  </w:style>
  <w:style w:type="paragraph" w:styleId="TM9">
    <w:name w:val="toc 9"/>
    <w:basedOn w:val="Normal"/>
    <w:next w:val="Normal"/>
    <w:autoRedefine/>
    <w:uiPriority w:val="39"/>
    <w:semiHidden/>
    <w:unhideWhenUsed/>
    <w:rsid w:val="00A576FF"/>
    <w:pPr>
      <w:tabs>
        <w:tab w:val="right" w:leader="dot" w:pos="8789"/>
      </w:tabs>
      <w:spacing w:after="100"/>
      <w:ind w:left="1680"/>
    </w:pPr>
  </w:style>
  <w:style w:type="character" w:styleId="Mentionnonrsolue">
    <w:name w:val="Unresolved Mention"/>
    <w:basedOn w:val="Policepardfaut"/>
    <w:uiPriority w:val="99"/>
    <w:semiHidden/>
    <w:unhideWhenUsed/>
    <w:rsid w:val="00141E77"/>
    <w:rPr>
      <w:color w:val="605E5C"/>
      <w:shd w:val="clear" w:color="auto" w:fill="E1DFDD"/>
    </w:rPr>
  </w:style>
  <w:style w:type="paragraph" w:customStyle="1" w:styleId="Style2">
    <w:name w:val="Style2"/>
    <w:basedOn w:val="Titre5"/>
    <w:qFormat/>
    <w:rsid w:val="00FB35AD"/>
    <w:pPr>
      <w:keepNext w:val="0"/>
      <w:keepLines w:val="0"/>
      <w:numPr>
        <w:ilvl w:val="0"/>
        <w:numId w:val="0"/>
      </w:numPr>
      <w:spacing w:before="240"/>
      <w:ind w:left="1956" w:hanging="113"/>
    </w:pPr>
    <w:rPr>
      <w:rFonts w:ascii="Franklin Gothic Book" w:eastAsiaTheme="minorHAnsi" w:hAnsi="Franklin Gothic Book" w:cs="Times New Roman"/>
      <w:b/>
      <w:i/>
      <w:color w:val="002060"/>
      <w:sz w:val="20"/>
    </w:rPr>
  </w:style>
  <w:style w:type="paragraph" w:customStyle="1" w:styleId="Paragraphenumrot">
    <w:name w:val="Paragraphe numéroté"/>
    <w:basedOn w:val="Paragraphedeliste"/>
    <w:uiPriority w:val="1"/>
    <w:qFormat/>
    <w:rsid w:val="00CB1347"/>
  </w:style>
  <w:style w:type="character" w:styleId="Marquedecommentaire">
    <w:name w:val="annotation reference"/>
    <w:basedOn w:val="Policepardfaut"/>
    <w:uiPriority w:val="99"/>
    <w:semiHidden/>
    <w:unhideWhenUsed/>
    <w:rsid w:val="003B275E"/>
    <w:rPr>
      <w:sz w:val="16"/>
      <w:szCs w:val="16"/>
    </w:rPr>
  </w:style>
  <w:style w:type="paragraph" w:styleId="Commentaire">
    <w:name w:val="annotation text"/>
    <w:basedOn w:val="Normal"/>
    <w:link w:val="CommentaireCar"/>
    <w:uiPriority w:val="99"/>
    <w:unhideWhenUsed/>
    <w:rsid w:val="003B275E"/>
    <w:rPr>
      <w:sz w:val="20"/>
    </w:rPr>
  </w:style>
  <w:style w:type="character" w:customStyle="1" w:styleId="CommentaireCar">
    <w:name w:val="Commentaire Car"/>
    <w:basedOn w:val="Policepardfaut"/>
    <w:link w:val="Commentaire"/>
    <w:uiPriority w:val="99"/>
    <w:rsid w:val="003B275E"/>
    <w:rPr>
      <w:rFonts w:ascii="Roboto" w:hAnsi="Roboto"/>
    </w:rPr>
  </w:style>
  <w:style w:type="paragraph" w:styleId="Objetducommentaire">
    <w:name w:val="annotation subject"/>
    <w:basedOn w:val="Commentaire"/>
    <w:next w:val="Commentaire"/>
    <w:link w:val="ObjetducommentaireCar"/>
    <w:uiPriority w:val="99"/>
    <w:semiHidden/>
    <w:unhideWhenUsed/>
    <w:rsid w:val="003B275E"/>
    <w:rPr>
      <w:b/>
      <w:bCs/>
    </w:rPr>
  </w:style>
  <w:style w:type="character" w:customStyle="1" w:styleId="ObjetducommentaireCar">
    <w:name w:val="Objet du commentaire Car"/>
    <w:basedOn w:val="CommentaireCar"/>
    <w:link w:val="Objetducommentaire"/>
    <w:uiPriority w:val="99"/>
    <w:semiHidden/>
    <w:rsid w:val="003B275E"/>
    <w:rPr>
      <w:rFonts w:ascii="Roboto" w:hAnsi="Roboto"/>
      <w:b/>
      <w:bCs/>
    </w:rPr>
  </w:style>
  <w:style w:type="character" w:customStyle="1" w:styleId="ParagraphedelisteCar">
    <w:name w:val="Paragraphe de liste Car"/>
    <w:basedOn w:val="Policepardfaut"/>
    <w:link w:val="Paragraphedeliste"/>
    <w:uiPriority w:val="34"/>
    <w:locked/>
    <w:rsid w:val="00870C90"/>
    <w:rPr>
      <w:rFonts w:ascii="Roboto" w:hAnsi="Roboto"/>
      <w:sz w:val="21"/>
    </w:rPr>
  </w:style>
  <w:style w:type="paragraph" w:styleId="Rvision">
    <w:name w:val="Revision"/>
    <w:hidden/>
    <w:uiPriority w:val="99"/>
    <w:semiHidden/>
    <w:rsid w:val="00CB1347"/>
    <w:pPr>
      <w:spacing w:line="240" w:lineRule="auto"/>
    </w:pPr>
    <w:rPr>
      <w:rFonts w:ascii="Roboto" w:hAnsi="Roboto"/>
      <w:sz w:val="21"/>
    </w:rPr>
  </w:style>
  <w:style w:type="paragraph" w:styleId="En-ttedetabledesmatires">
    <w:name w:val="TOC Heading"/>
    <w:basedOn w:val="Titre1"/>
    <w:next w:val="Normal"/>
    <w:uiPriority w:val="39"/>
    <w:unhideWhenUsed/>
    <w:qFormat/>
    <w:rsid w:val="00242B31"/>
    <w:pPr>
      <w:numPr>
        <w:numId w:val="0"/>
      </w:numPr>
      <w:spacing w:before="240" w:after="0"/>
      <w:outlineLvl w:val="9"/>
    </w:pPr>
    <w:rPr>
      <w:rFonts w:asciiTheme="majorHAnsi" w:hAnsiTheme="majorHAnsi" w:cstheme="majorBidi"/>
      <w:bCs w:val="0"/>
      <w:caps w:val="0"/>
      <w:noProof w:val="0"/>
      <w:color w:val="506773" w:themeColor="accent1" w:themeShade="BF"/>
      <w:sz w:val="32"/>
      <w:szCs w:val="32"/>
    </w:rPr>
  </w:style>
  <w:style w:type="paragraph" w:customStyle="1" w:styleId="Listeavectirets">
    <w:name w:val="Liste avec tirets"/>
    <w:basedOn w:val="Normal"/>
    <w:uiPriority w:val="7"/>
    <w:qFormat/>
    <w:rsid w:val="007B512F"/>
    <w:pPr>
      <w:numPr>
        <w:numId w:val="11"/>
      </w:numPr>
    </w:pPr>
    <w:rPr>
      <w:rFonts w:eastAsia="Franklin Gothic Book"/>
      <w:spacing w:val="-4"/>
    </w:rPr>
  </w:style>
  <w:style w:type="character" w:customStyle="1" w:styleId="ui-provider">
    <w:name w:val="ui-provider"/>
    <w:basedOn w:val="Policepardfaut"/>
    <w:rsid w:val="00862FA3"/>
  </w:style>
  <w:style w:type="character" w:styleId="Mention">
    <w:name w:val="Mention"/>
    <w:basedOn w:val="Policepardfaut"/>
    <w:uiPriority w:val="99"/>
    <w:unhideWhenUsed/>
    <w:rsid w:val="002D3C5E"/>
    <w:rPr>
      <w:color w:val="2B579A"/>
      <w:shd w:val="clear" w:color="auto" w:fill="E1DFDD"/>
    </w:rPr>
  </w:style>
  <w:style w:type="character" w:customStyle="1" w:styleId="cf01">
    <w:name w:val="cf01"/>
    <w:basedOn w:val="Policepardfaut"/>
    <w:rsid w:val="005214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4617">
      <w:bodyDiv w:val="1"/>
      <w:marLeft w:val="0"/>
      <w:marRight w:val="0"/>
      <w:marTop w:val="0"/>
      <w:marBottom w:val="0"/>
      <w:divBdr>
        <w:top w:val="none" w:sz="0" w:space="0" w:color="auto"/>
        <w:left w:val="none" w:sz="0" w:space="0" w:color="auto"/>
        <w:bottom w:val="none" w:sz="0" w:space="0" w:color="auto"/>
        <w:right w:val="none" w:sz="0" w:space="0" w:color="auto"/>
      </w:divBdr>
    </w:div>
    <w:div w:id="800654529">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643">
      <w:bodyDiv w:val="1"/>
      <w:marLeft w:val="0"/>
      <w:marRight w:val="0"/>
      <w:marTop w:val="0"/>
      <w:marBottom w:val="0"/>
      <w:divBdr>
        <w:top w:val="none" w:sz="0" w:space="0" w:color="auto"/>
        <w:left w:val="none" w:sz="0" w:space="0" w:color="auto"/>
        <w:bottom w:val="none" w:sz="0" w:space="0" w:color="auto"/>
        <w:right w:val="none" w:sz="0" w:space="0" w:color="auto"/>
      </w:divBdr>
    </w:div>
    <w:div w:id="1487282615">
      <w:bodyDiv w:val="1"/>
      <w:marLeft w:val="0"/>
      <w:marRight w:val="0"/>
      <w:marTop w:val="0"/>
      <w:marBottom w:val="0"/>
      <w:divBdr>
        <w:top w:val="none" w:sz="0" w:space="0" w:color="auto"/>
        <w:left w:val="none" w:sz="0" w:space="0" w:color="auto"/>
        <w:bottom w:val="none" w:sz="0" w:space="0" w:color="auto"/>
        <w:right w:val="none" w:sz="0" w:space="0" w:color="auto"/>
      </w:divBdr>
    </w:div>
    <w:div w:id="1766076368">
      <w:bodyDiv w:val="1"/>
      <w:marLeft w:val="0"/>
      <w:marRight w:val="0"/>
      <w:marTop w:val="0"/>
      <w:marBottom w:val="0"/>
      <w:divBdr>
        <w:top w:val="none" w:sz="0" w:space="0" w:color="auto"/>
        <w:left w:val="none" w:sz="0" w:space="0" w:color="auto"/>
        <w:bottom w:val="none" w:sz="0" w:space="0" w:color="auto"/>
        <w:right w:val="none" w:sz="0" w:space="0" w:color="auto"/>
      </w:divBdr>
    </w:div>
    <w:div w:id="21432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ART2020_tab">
  <a:themeElements>
    <a:clrScheme name="Personnalisé 4">
      <a:dk1>
        <a:sysClr val="windowText" lastClr="000000"/>
      </a:dk1>
      <a:lt1>
        <a:sysClr val="window" lastClr="FFFFFF"/>
      </a:lt1>
      <a:dk2>
        <a:srgbClr val="24356D"/>
      </a:dk2>
      <a:lt2>
        <a:srgbClr val="E7E6E6"/>
      </a:lt2>
      <a:accent1>
        <a:srgbClr val="6C8A99"/>
      </a:accent1>
      <a:accent2>
        <a:srgbClr val="F39200"/>
      </a:accent2>
      <a:accent3>
        <a:srgbClr val="9CC5C4"/>
      </a:accent3>
      <a:accent4>
        <a:srgbClr val="C66C61"/>
      </a:accent4>
      <a:accent5>
        <a:srgbClr val="0084AD"/>
      </a:accent5>
      <a:accent6>
        <a:srgbClr val="815374"/>
      </a:accent6>
      <a:hlink>
        <a:srgbClr val="0563C1"/>
      </a:hlink>
      <a:folHlink>
        <a:srgbClr val="0563C1"/>
      </a:folHlink>
    </a:clrScheme>
    <a:fontScheme name="ART202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B5CFAE3ACA74F8C0E680670F4E6AC" ma:contentTypeVersion="6" ma:contentTypeDescription="Create a new document." ma:contentTypeScope="" ma:versionID="a775ae52bbe1f3c09ce4b785c96af392">
  <xsd:schema xmlns:xsd="http://www.w3.org/2001/XMLSchema" xmlns:xs="http://www.w3.org/2001/XMLSchema" xmlns:p="http://schemas.microsoft.com/office/2006/metadata/properties" xmlns:ns2="beb965c0-1089-476a-a962-495aeb6b2ed4" xmlns:ns3="d6388411-bee3-4cc5-b60b-ad962fb361ed" targetNamespace="http://schemas.microsoft.com/office/2006/metadata/properties" ma:root="true" ma:fieldsID="6aacdb91d54bbd14e0094e6f91365c56" ns2:_="" ns3:_="">
    <xsd:import namespace="beb965c0-1089-476a-a962-495aeb6b2ed4"/>
    <xsd:import namespace="d6388411-bee3-4cc5-b60b-ad962fb361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65c0-1089-476a-a962-495aeb6b2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88411-bee3-4cc5-b60b-ad962fb361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EEEE7-205F-46B5-88BD-CFDC70AA7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39EA68-ACB2-465D-87AE-2FFCF705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965c0-1089-476a-a962-495aeb6b2ed4"/>
    <ds:schemaRef ds:uri="d6388411-bee3-4cc5-b60b-ad962fb36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46221-F598-405B-AC08-6620FC4BE992}">
  <ds:schemaRefs>
    <ds:schemaRef ds:uri="http://schemas.openxmlformats.org/officeDocument/2006/bibliography"/>
  </ds:schemaRefs>
</ds:datastoreItem>
</file>

<file path=customXml/itemProps4.xml><?xml version="1.0" encoding="utf-8"?>
<ds:datastoreItem xmlns:ds="http://schemas.openxmlformats.org/officeDocument/2006/customXml" ds:itemID="{36BBF864-C9C8-4F50-90D8-60347B179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5106</Words>
  <Characters>28084</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DRFT</dc:creator>
  <cp:keywords/>
  <dc:description/>
  <cp:lastModifiedBy>NGUYEN Gaelle</cp:lastModifiedBy>
  <cp:revision>3</cp:revision>
  <cp:lastPrinted>2022-06-28T05:04:00Z</cp:lastPrinted>
  <dcterms:created xsi:type="dcterms:W3CDTF">2024-02-12T10:26:00Z</dcterms:created>
  <dcterms:modified xsi:type="dcterms:W3CDTF">2024-02-14T14:07:00Z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0x010100617B5CFAE3ACA74F8C0E680670F4E6AC</vt:lpwstr>
  </property>
</Properties>
</file>